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44BC8" w:rsidRPr="003E3EA6" w:rsidRDefault="00244BC8" w:rsidP="00362A00">
      <w:pPr>
        <w:pStyle w:val="Cabealho"/>
        <w:spacing w:line="276" w:lineRule="auto"/>
        <w:ind w:firstLine="284"/>
        <w:jc w:val="center"/>
        <w:rPr>
          <w:rFonts w:ascii="Tahoma" w:hAnsi="Tahoma" w:cs="Tahoma"/>
          <w:b/>
          <w:sz w:val="36"/>
          <w:u w:val="single"/>
        </w:rPr>
      </w:pPr>
      <w:r w:rsidRPr="003E3EA6">
        <w:rPr>
          <w:rFonts w:ascii="Tahoma" w:hAnsi="Tahoma" w:cs="Tahoma"/>
          <w:b/>
          <w:sz w:val="36"/>
          <w:u w:val="single"/>
        </w:rPr>
        <w:t>PARECER JURÍDICO</w:t>
      </w:r>
    </w:p>
    <w:p w:rsidR="000229C0" w:rsidRPr="003E3EA6" w:rsidRDefault="000229C0" w:rsidP="00362A00">
      <w:pPr>
        <w:spacing w:after="120"/>
        <w:jc w:val="center"/>
        <w:rPr>
          <w:rFonts w:ascii="Tahoma" w:hAnsi="Tahoma" w:cs="Tahoma"/>
          <w:b/>
          <w:sz w:val="21"/>
          <w:szCs w:val="21"/>
        </w:rPr>
      </w:pPr>
    </w:p>
    <w:p w:rsidR="00B2260D" w:rsidRPr="003E3EA6" w:rsidRDefault="00B2260D" w:rsidP="00362A00">
      <w:pPr>
        <w:pStyle w:val="SemEspaamento"/>
        <w:spacing w:line="276" w:lineRule="auto"/>
        <w:rPr>
          <w:rFonts w:ascii="Tahoma" w:hAnsi="Tahoma" w:cs="Tahoma"/>
          <w:sz w:val="21"/>
          <w:szCs w:val="21"/>
        </w:rPr>
      </w:pPr>
    </w:p>
    <w:p w:rsidR="00244BC8" w:rsidRPr="003E3EA6" w:rsidRDefault="00244BC8" w:rsidP="00362A00">
      <w:pPr>
        <w:pStyle w:val="SemEspaamento"/>
        <w:spacing w:line="276" w:lineRule="auto"/>
        <w:jc w:val="both"/>
        <w:rPr>
          <w:rFonts w:ascii="Tahoma" w:hAnsi="Tahoma" w:cs="Tahoma"/>
          <w:sz w:val="21"/>
          <w:szCs w:val="21"/>
        </w:rPr>
      </w:pPr>
      <w:r w:rsidRPr="003E3EA6">
        <w:rPr>
          <w:rFonts w:ascii="Tahoma" w:hAnsi="Tahoma" w:cs="Tahoma"/>
          <w:b/>
          <w:sz w:val="21"/>
          <w:szCs w:val="21"/>
        </w:rPr>
        <w:t>PROCESSO LICITATÓRIO</w:t>
      </w:r>
      <w:r w:rsidR="00FD0955" w:rsidRPr="003E3EA6">
        <w:rPr>
          <w:rFonts w:ascii="Tahoma" w:hAnsi="Tahoma" w:cs="Tahoma"/>
          <w:b/>
          <w:sz w:val="21"/>
          <w:szCs w:val="21"/>
        </w:rPr>
        <w:t>:</w:t>
      </w:r>
      <w:r w:rsidR="00FD0955" w:rsidRPr="003E3EA6">
        <w:rPr>
          <w:rFonts w:ascii="Tahoma" w:hAnsi="Tahoma" w:cs="Tahoma"/>
          <w:sz w:val="21"/>
          <w:szCs w:val="21"/>
        </w:rPr>
        <w:t xml:space="preserve"> Nº </w:t>
      </w:r>
      <w:r w:rsidR="00A904A5" w:rsidRPr="003E3EA6">
        <w:rPr>
          <w:rFonts w:ascii="Tahoma" w:hAnsi="Tahoma" w:cs="Tahoma"/>
          <w:sz w:val="21"/>
          <w:szCs w:val="21"/>
        </w:rPr>
        <w:t>01</w:t>
      </w:r>
      <w:r w:rsidR="00F66ED3" w:rsidRPr="003E3EA6">
        <w:rPr>
          <w:rFonts w:ascii="Tahoma" w:hAnsi="Tahoma" w:cs="Tahoma"/>
          <w:sz w:val="21"/>
          <w:szCs w:val="21"/>
        </w:rPr>
        <w:t>/201</w:t>
      </w:r>
      <w:r w:rsidR="00A904A5" w:rsidRPr="003E3EA6">
        <w:rPr>
          <w:rFonts w:ascii="Tahoma" w:hAnsi="Tahoma" w:cs="Tahoma"/>
          <w:sz w:val="21"/>
          <w:szCs w:val="21"/>
        </w:rPr>
        <w:t>9</w:t>
      </w:r>
    </w:p>
    <w:p w:rsidR="00244BC8" w:rsidRPr="003E3EA6" w:rsidRDefault="00244BC8" w:rsidP="00362A00">
      <w:pPr>
        <w:pStyle w:val="SemEspaamento"/>
        <w:spacing w:line="276" w:lineRule="auto"/>
        <w:jc w:val="both"/>
        <w:rPr>
          <w:rFonts w:ascii="Tahoma" w:hAnsi="Tahoma" w:cs="Tahoma"/>
          <w:sz w:val="21"/>
          <w:szCs w:val="21"/>
        </w:rPr>
      </w:pPr>
      <w:r w:rsidRPr="003E3EA6">
        <w:rPr>
          <w:rFonts w:ascii="Tahoma" w:hAnsi="Tahoma" w:cs="Tahoma"/>
          <w:b/>
          <w:sz w:val="21"/>
          <w:szCs w:val="21"/>
        </w:rPr>
        <w:t>MODALIDADE DE LICITAÇÃO:</w:t>
      </w:r>
      <w:r w:rsidRPr="003E3EA6">
        <w:rPr>
          <w:rFonts w:ascii="Tahoma" w:hAnsi="Tahoma" w:cs="Tahoma"/>
          <w:sz w:val="21"/>
          <w:szCs w:val="21"/>
        </w:rPr>
        <w:t xml:space="preserve"> </w:t>
      </w:r>
      <w:r w:rsidR="00A904A5" w:rsidRPr="003E3EA6">
        <w:rPr>
          <w:rFonts w:ascii="Tahoma" w:hAnsi="Tahoma" w:cs="Tahoma"/>
          <w:sz w:val="21"/>
          <w:szCs w:val="21"/>
        </w:rPr>
        <w:t xml:space="preserve">Tomada De Preços </w:t>
      </w:r>
      <w:r w:rsidRPr="003E3EA6">
        <w:rPr>
          <w:rFonts w:ascii="Tahoma" w:hAnsi="Tahoma" w:cs="Tahoma"/>
          <w:sz w:val="21"/>
          <w:szCs w:val="21"/>
        </w:rPr>
        <w:t>Nº 00</w:t>
      </w:r>
      <w:r w:rsidR="003521CB" w:rsidRPr="003E3EA6">
        <w:rPr>
          <w:rFonts w:ascii="Tahoma" w:hAnsi="Tahoma" w:cs="Tahoma"/>
          <w:sz w:val="21"/>
          <w:szCs w:val="21"/>
        </w:rPr>
        <w:t>1</w:t>
      </w:r>
      <w:r w:rsidR="00F66ED3" w:rsidRPr="003E3EA6">
        <w:rPr>
          <w:rFonts w:ascii="Tahoma" w:hAnsi="Tahoma" w:cs="Tahoma"/>
          <w:sz w:val="21"/>
          <w:szCs w:val="21"/>
        </w:rPr>
        <w:t>/201</w:t>
      </w:r>
      <w:r w:rsidR="00A904A5" w:rsidRPr="003E3EA6">
        <w:rPr>
          <w:rFonts w:ascii="Tahoma" w:hAnsi="Tahoma" w:cs="Tahoma"/>
          <w:sz w:val="21"/>
          <w:szCs w:val="21"/>
        </w:rPr>
        <w:t>9</w:t>
      </w:r>
    </w:p>
    <w:p w:rsidR="00244BC8" w:rsidRPr="003E3EA6" w:rsidRDefault="002E05A5" w:rsidP="00362A00">
      <w:pPr>
        <w:pStyle w:val="SemEspaamento"/>
        <w:spacing w:line="276" w:lineRule="auto"/>
        <w:jc w:val="both"/>
        <w:rPr>
          <w:rFonts w:ascii="Tahoma" w:hAnsi="Tahoma" w:cs="Tahoma"/>
          <w:sz w:val="21"/>
          <w:szCs w:val="21"/>
        </w:rPr>
      </w:pPr>
      <w:r w:rsidRPr="003E3EA6">
        <w:rPr>
          <w:rFonts w:ascii="Tahoma" w:hAnsi="Tahoma" w:cs="Tahoma"/>
          <w:b/>
          <w:sz w:val="21"/>
          <w:szCs w:val="21"/>
        </w:rPr>
        <w:t>OBJETO:</w:t>
      </w:r>
      <w:r w:rsidR="00244BC8" w:rsidRPr="003E3EA6">
        <w:rPr>
          <w:rStyle w:val="nfase"/>
          <w:rFonts w:ascii="Tahoma" w:hAnsi="Tahoma" w:cs="Tahoma"/>
          <w:b/>
          <w:sz w:val="21"/>
          <w:szCs w:val="21"/>
        </w:rPr>
        <w:t xml:space="preserve"> </w:t>
      </w:r>
      <w:r w:rsidR="00A93821" w:rsidRPr="003E3EA6">
        <w:rPr>
          <w:rFonts w:ascii="Tahoma" w:hAnsi="Tahoma" w:cs="Tahoma"/>
          <w:sz w:val="21"/>
          <w:szCs w:val="21"/>
        </w:rPr>
        <w:t xml:space="preserve">contratação de empresa especializada para a </w:t>
      </w:r>
      <w:r w:rsidR="00A93821" w:rsidRPr="003E3EA6">
        <w:rPr>
          <w:rFonts w:ascii="Tahoma" w:hAnsi="Tahoma" w:cs="Tahoma"/>
          <w:b/>
          <w:sz w:val="21"/>
          <w:szCs w:val="21"/>
        </w:rPr>
        <w:t>prestação de serviços de assessoria e consultoria jurídica com presença física de no mínimo 08 (oito) dias uteis por mês</w:t>
      </w:r>
      <w:r w:rsidR="00A93821" w:rsidRPr="003E3EA6">
        <w:rPr>
          <w:rFonts w:ascii="Tahoma" w:hAnsi="Tahoma" w:cs="Tahoma"/>
          <w:sz w:val="21"/>
          <w:szCs w:val="21"/>
        </w:rPr>
        <w:t>, para atender as necessidades da Câmara Municipal de Nova Nazaré-MT</w:t>
      </w:r>
      <w:r w:rsidR="009F2D1A" w:rsidRPr="003E3EA6">
        <w:rPr>
          <w:rFonts w:ascii="Tahoma" w:hAnsi="Tahoma" w:cs="Tahoma"/>
          <w:bCs/>
          <w:iCs/>
          <w:sz w:val="21"/>
          <w:szCs w:val="21"/>
        </w:rPr>
        <w:t>.</w:t>
      </w:r>
    </w:p>
    <w:p w:rsidR="00244BC8" w:rsidRPr="003E3EA6" w:rsidRDefault="00F66ED3" w:rsidP="00362A00">
      <w:pPr>
        <w:pStyle w:val="SemEspaamento"/>
        <w:spacing w:line="276" w:lineRule="auto"/>
        <w:jc w:val="both"/>
        <w:rPr>
          <w:rFonts w:ascii="Tahoma" w:hAnsi="Tahoma" w:cs="Tahoma"/>
          <w:sz w:val="21"/>
          <w:szCs w:val="21"/>
        </w:rPr>
      </w:pPr>
      <w:r w:rsidRPr="003E3EA6">
        <w:rPr>
          <w:rFonts w:ascii="Tahoma" w:hAnsi="Tahoma" w:cs="Tahoma"/>
          <w:b/>
          <w:sz w:val="21"/>
          <w:szCs w:val="21"/>
        </w:rPr>
        <w:t>INTERESSADA</w:t>
      </w:r>
      <w:r w:rsidR="00574E1E" w:rsidRPr="003E3EA6">
        <w:rPr>
          <w:rFonts w:ascii="Tahoma" w:hAnsi="Tahoma" w:cs="Tahoma"/>
          <w:b/>
          <w:sz w:val="21"/>
          <w:szCs w:val="21"/>
        </w:rPr>
        <w:t>S</w:t>
      </w:r>
      <w:r w:rsidRPr="003E3EA6">
        <w:rPr>
          <w:rFonts w:ascii="Tahoma" w:hAnsi="Tahoma" w:cs="Tahoma"/>
          <w:b/>
          <w:sz w:val="21"/>
          <w:szCs w:val="21"/>
        </w:rPr>
        <w:t>:</w:t>
      </w:r>
      <w:r w:rsidRPr="003E3EA6">
        <w:rPr>
          <w:rFonts w:ascii="Tahoma" w:hAnsi="Tahoma" w:cs="Tahoma"/>
          <w:sz w:val="21"/>
          <w:szCs w:val="21"/>
        </w:rPr>
        <w:t xml:space="preserve"> </w:t>
      </w:r>
      <w:r w:rsidR="003521CB" w:rsidRPr="003E3EA6">
        <w:rPr>
          <w:rFonts w:ascii="Tahoma" w:hAnsi="Tahoma" w:cs="Tahoma"/>
          <w:sz w:val="21"/>
          <w:szCs w:val="21"/>
        </w:rPr>
        <w:t>Secretaria Municipal de Administração</w:t>
      </w:r>
      <w:r w:rsidR="00244BC8" w:rsidRPr="003E3EA6">
        <w:rPr>
          <w:rFonts w:ascii="Tahoma" w:hAnsi="Tahoma" w:cs="Tahoma"/>
          <w:sz w:val="21"/>
          <w:szCs w:val="21"/>
        </w:rPr>
        <w:t>.</w:t>
      </w:r>
    </w:p>
    <w:p w:rsidR="00244BC8" w:rsidRPr="003E3EA6" w:rsidRDefault="00244BC8" w:rsidP="00362A00">
      <w:pPr>
        <w:pStyle w:val="SemEspaamento"/>
        <w:spacing w:line="276" w:lineRule="auto"/>
        <w:rPr>
          <w:rFonts w:ascii="Tahoma" w:hAnsi="Tahoma" w:cs="Tahoma"/>
          <w:sz w:val="21"/>
          <w:szCs w:val="21"/>
        </w:rPr>
      </w:pPr>
    </w:p>
    <w:p w:rsidR="00244BC8" w:rsidRPr="003E3EA6" w:rsidRDefault="00244BC8" w:rsidP="00362A00">
      <w:pPr>
        <w:spacing w:after="120"/>
        <w:ind w:firstLine="1843"/>
        <w:jc w:val="both"/>
        <w:rPr>
          <w:rFonts w:ascii="Tahoma" w:hAnsi="Tahoma" w:cs="Tahoma"/>
          <w:b/>
          <w:sz w:val="21"/>
          <w:szCs w:val="21"/>
        </w:rPr>
      </w:pPr>
    </w:p>
    <w:p w:rsidR="00244BC8" w:rsidRPr="003E3EA6" w:rsidRDefault="00244BC8" w:rsidP="00362A00">
      <w:pPr>
        <w:pStyle w:val="SemEspaamento"/>
        <w:spacing w:line="276" w:lineRule="auto"/>
        <w:ind w:firstLine="1843"/>
        <w:jc w:val="both"/>
        <w:rPr>
          <w:rFonts w:ascii="Tahoma" w:hAnsi="Tahoma" w:cs="Tahoma"/>
          <w:sz w:val="21"/>
          <w:szCs w:val="21"/>
        </w:rPr>
      </w:pPr>
      <w:r w:rsidRPr="003E3EA6">
        <w:rPr>
          <w:rFonts w:ascii="Tahoma" w:hAnsi="Tahoma" w:cs="Tahoma"/>
          <w:sz w:val="21"/>
          <w:szCs w:val="21"/>
        </w:rPr>
        <w:t>Em atenção à solicitação da Comissão Permanente de Licitação</w:t>
      </w:r>
      <w:r w:rsidR="00A93821" w:rsidRPr="003E3EA6">
        <w:rPr>
          <w:rFonts w:ascii="Tahoma" w:hAnsi="Tahoma" w:cs="Tahoma"/>
          <w:sz w:val="21"/>
          <w:szCs w:val="21"/>
        </w:rPr>
        <w:t xml:space="preserve"> da Prefeitura Municipal de Nova Nazaré-MT., </w:t>
      </w:r>
      <w:r w:rsidR="00A93821" w:rsidRPr="003E3EA6">
        <w:rPr>
          <w:rFonts w:ascii="Tahoma" w:eastAsia="ArialMT" w:hAnsi="Tahoma" w:cs="Tahoma"/>
          <w:sz w:val="21"/>
          <w:szCs w:val="21"/>
        </w:rPr>
        <w:t>e de acordo com o</w:t>
      </w:r>
      <w:r w:rsidR="00A93821" w:rsidRPr="003E3EA6">
        <w:rPr>
          <w:rFonts w:ascii="Tahoma" w:eastAsia="ArialMT" w:hAnsi="Tahoma" w:cs="Tahoma"/>
          <w:b/>
          <w:sz w:val="21"/>
          <w:szCs w:val="21"/>
        </w:rPr>
        <w:t xml:space="preserve"> Termo de Cooperação Técnica Nº 002/2019 de 11/07/2019, </w:t>
      </w:r>
      <w:r w:rsidRPr="003E3EA6">
        <w:rPr>
          <w:rFonts w:ascii="Tahoma" w:hAnsi="Tahoma" w:cs="Tahoma"/>
          <w:sz w:val="21"/>
          <w:szCs w:val="21"/>
        </w:rPr>
        <w:t>esta Procuradoria Jurídica, no sentido de emissão de parecer técnico jurídico a respeito da legalidade procedimental do presente certame, passa</w:t>
      </w:r>
      <w:r w:rsidR="00395624" w:rsidRPr="003E3EA6">
        <w:rPr>
          <w:rFonts w:ascii="Tahoma" w:hAnsi="Tahoma" w:cs="Tahoma"/>
          <w:sz w:val="21"/>
          <w:szCs w:val="21"/>
        </w:rPr>
        <w:t xml:space="preserve">-se </w:t>
      </w:r>
      <w:r w:rsidRPr="003E3EA6">
        <w:rPr>
          <w:rFonts w:ascii="Tahoma" w:hAnsi="Tahoma" w:cs="Tahoma"/>
          <w:sz w:val="21"/>
          <w:szCs w:val="21"/>
        </w:rPr>
        <w:t>a expor o quanto segue:</w:t>
      </w:r>
    </w:p>
    <w:p w:rsidR="00244BC8" w:rsidRPr="003E3EA6" w:rsidRDefault="00244BC8" w:rsidP="00362A00">
      <w:pPr>
        <w:pStyle w:val="SemEspaamento"/>
        <w:spacing w:line="276" w:lineRule="auto"/>
        <w:rPr>
          <w:rFonts w:ascii="Tahoma" w:hAnsi="Tahoma" w:cs="Tahoma"/>
          <w:sz w:val="21"/>
          <w:szCs w:val="21"/>
        </w:rPr>
      </w:pPr>
    </w:p>
    <w:p w:rsidR="00244BC8" w:rsidRPr="003E3EA6" w:rsidRDefault="00244BC8" w:rsidP="00362A00">
      <w:pPr>
        <w:pStyle w:val="SemEspaamento"/>
        <w:ind w:firstLine="1843"/>
        <w:rPr>
          <w:rFonts w:ascii="Tahoma" w:hAnsi="Tahoma" w:cs="Tahoma"/>
          <w:b/>
          <w:sz w:val="24"/>
          <w:u w:val="single"/>
        </w:rPr>
      </w:pPr>
      <w:r w:rsidRPr="003E3EA6">
        <w:rPr>
          <w:rFonts w:ascii="Tahoma" w:hAnsi="Tahoma" w:cs="Tahoma"/>
          <w:b/>
          <w:sz w:val="24"/>
          <w:u w:val="single"/>
        </w:rPr>
        <w:t>LICITAÇÃO:</w:t>
      </w:r>
    </w:p>
    <w:p w:rsidR="00B2260D" w:rsidRPr="003E3EA6" w:rsidRDefault="00B2260D" w:rsidP="00362A00">
      <w:pPr>
        <w:pStyle w:val="SemEspaamento"/>
        <w:spacing w:line="276" w:lineRule="auto"/>
        <w:jc w:val="both"/>
        <w:rPr>
          <w:rFonts w:ascii="Tahoma" w:hAnsi="Tahoma" w:cs="Tahoma"/>
          <w:sz w:val="21"/>
          <w:szCs w:val="21"/>
        </w:rPr>
      </w:pPr>
    </w:p>
    <w:p w:rsidR="00244BC8" w:rsidRPr="003E3EA6" w:rsidRDefault="00244BC8" w:rsidP="00362A00">
      <w:pPr>
        <w:pStyle w:val="SemEspaamento"/>
        <w:spacing w:line="276" w:lineRule="auto"/>
        <w:ind w:firstLine="1843"/>
        <w:jc w:val="both"/>
        <w:rPr>
          <w:rFonts w:ascii="Tahoma" w:hAnsi="Tahoma" w:cs="Tahoma"/>
          <w:sz w:val="21"/>
          <w:szCs w:val="21"/>
        </w:rPr>
      </w:pPr>
      <w:r w:rsidRPr="003E3EA6">
        <w:rPr>
          <w:rFonts w:ascii="Tahoma" w:hAnsi="Tahoma" w:cs="Tahoma"/>
          <w:sz w:val="21"/>
          <w:szCs w:val="21"/>
        </w:rPr>
        <w:t>A Constituição Federal de 1988 estabeleceu a</w:t>
      </w:r>
      <w:r w:rsidRPr="003E3EA6">
        <w:rPr>
          <w:rFonts w:ascii="Tahoma" w:hAnsi="Tahoma" w:cs="Tahoma"/>
          <w:sz w:val="21"/>
          <w:szCs w:val="21"/>
          <w:shd w:val="clear" w:color="auto" w:fill="FFFFFF"/>
        </w:rPr>
        <w:t xml:space="preserve"> obrigatoriedade de que todo e qualquer contrato de obra, serviço, compras e alienações, bem como concessão e permissão de serviços públicos, deve ser precedido de um procedimento licitatório, conforme redação do art. 37º, inciso </w:t>
      </w:r>
      <w:r w:rsidRPr="003E3EA6">
        <w:rPr>
          <w:rFonts w:ascii="Tahoma" w:hAnsi="Tahoma" w:cs="Tahoma"/>
          <w:sz w:val="21"/>
          <w:szCs w:val="21"/>
        </w:rPr>
        <w:t xml:space="preserve">XXI: </w:t>
      </w:r>
    </w:p>
    <w:p w:rsidR="003521CB" w:rsidRPr="003E3EA6" w:rsidRDefault="003521CB" w:rsidP="00362A00">
      <w:pPr>
        <w:pStyle w:val="SemEspaamento"/>
        <w:spacing w:line="276" w:lineRule="auto"/>
        <w:jc w:val="both"/>
        <w:rPr>
          <w:rFonts w:ascii="Tahoma" w:hAnsi="Tahoma" w:cs="Tahoma"/>
          <w:sz w:val="21"/>
          <w:szCs w:val="21"/>
        </w:rPr>
      </w:pPr>
    </w:p>
    <w:p w:rsidR="00244BC8" w:rsidRPr="003E3EA6" w:rsidRDefault="00244BC8" w:rsidP="00362A00">
      <w:pPr>
        <w:spacing w:after="120"/>
        <w:ind w:left="2552"/>
        <w:jc w:val="both"/>
        <w:rPr>
          <w:rFonts w:ascii="Tahoma" w:hAnsi="Tahoma" w:cs="Tahoma"/>
          <w:b/>
          <w:sz w:val="19"/>
          <w:szCs w:val="19"/>
        </w:rPr>
      </w:pPr>
      <w:r w:rsidRPr="003E3EA6">
        <w:rPr>
          <w:rFonts w:ascii="Tahoma" w:hAnsi="Tahoma" w:cs="Tahoma"/>
          <w:b/>
          <w:sz w:val="19"/>
          <w:szCs w:val="19"/>
        </w:rPr>
        <w:t>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p w:rsidR="003521CB" w:rsidRPr="003E3EA6" w:rsidRDefault="003521CB" w:rsidP="00362A00">
      <w:pPr>
        <w:pStyle w:val="SemEspaamento"/>
        <w:spacing w:line="276" w:lineRule="auto"/>
        <w:rPr>
          <w:rFonts w:ascii="Tahoma" w:hAnsi="Tahoma" w:cs="Tahoma"/>
          <w:sz w:val="21"/>
          <w:szCs w:val="21"/>
        </w:rPr>
      </w:pPr>
    </w:p>
    <w:p w:rsidR="00244BC8" w:rsidRPr="003E3EA6" w:rsidRDefault="00244BC8" w:rsidP="00362A00">
      <w:pPr>
        <w:pStyle w:val="SemEspaamento"/>
        <w:spacing w:line="276" w:lineRule="auto"/>
        <w:ind w:firstLine="1843"/>
        <w:jc w:val="both"/>
        <w:rPr>
          <w:rFonts w:ascii="Tahoma" w:hAnsi="Tahoma" w:cs="Tahoma"/>
          <w:sz w:val="21"/>
          <w:szCs w:val="21"/>
          <w:shd w:val="clear" w:color="auto" w:fill="FFFFFF"/>
        </w:rPr>
      </w:pPr>
      <w:r w:rsidRPr="003E3EA6">
        <w:rPr>
          <w:rFonts w:ascii="Tahoma" w:hAnsi="Tahoma" w:cs="Tahoma"/>
          <w:sz w:val="21"/>
          <w:szCs w:val="21"/>
          <w:shd w:val="clear" w:color="auto" w:fill="FFFFFF"/>
        </w:rPr>
        <w:t>A legislação infraconstitucional, em regra, é quem disciplina o procedimento licitatório, em especial a Lei 8.666/93, nos termos do artigo 1º, que apresenta o seguinte texto normativo:</w:t>
      </w:r>
    </w:p>
    <w:p w:rsidR="003521CB" w:rsidRPr="003E3EA6" w:rsidRDefault="003521CB" w:rsidP="00362A00">
      <w:pPr>
        <w:pStyle w:val="SemEspaamento"/>
        <w:spacing w:line="276" w:lineRule="auto"/>
        <w:rPr>
          <w:rFonts w:ascii="Tahoma" w:hAnsi="Tahoma" w:cs="Tahoma"/>
          <w:sz w:val="21"/>
          <w:szCs w:val="21"/>
        </w:rPr>
      </w:pPr>
    </w:p>
    <w:p w:rsidR="00244BC8" w:rsidRPr="003E3EA6" w:rsidRDefault="00244BC8" w:rsidP="00362A00">
      <w:pPr>
        <w:pStyle w:val="SemEspaamento"/>
        <w:spacing w:line="276" w:lineRule="auto"/>
        <w:ind w:left="2552"/>
        <w:jc w:val="both"/>
        <w:rPr>
          <w:rFonts w:ascii="Tahoma" w:hAnsi="Tahoma" w:cs="Tahoma"/>
          <w:b/>
          <w:sz w:val="19"/>
          <w:szCs w:val="19"/>
        </w:rPr>
      </w:pPr>
      <w:r w:rsidRPr="003E3EA6">
        <w:rPr>
          <w:rFonts w:ascii="Tahoma" w:hAnsi="Tahoma" w:cs="Tahoma"/>
          <w:b/>
          <w:sz w:val="19"/>
          <w:szCs w:val="19"/>
        </w:rPr>
        <w:t>Esta Lei estabelece normas gerais sobre licitações e contratos administrativos pertinentes a obras, serviços, inclusive de publicidade, compras, alienações e locações no âmbito dos Poderes da União, dos Estados, do Distrito Federal e dos Municípios.</w:t>
      </w:r>
    </w:p>
    <w:p w:rsidR="00B2260D" w:rsidRPr="003E3EA6" w:rsidRDefault="00B2260D" w:rsidP="00362A00">
      <w:pPr>
        <w:pStyle w:val="SemEspaamento"/>
        <w:spacing w:line="276" w:lineRule="auto"/>
        <w:rPr>
          <w:rFonts w:ascii="Tahoma" w:hAnsi="Tahoma" w:cs="Tahoma"/>
        </w:rPr>
      </w:pPr>
    </w:p>
    <w:p w:rsidR="00244BC8" w:rsidRPr="003E3EA6" w:rsidRDefault="00244BC8" w:rsidP="00362A00">
      <w:pPr>
        <w:pStyle w:val="SemEspaamento"/>
        <w:ind w:firstLine="1843"/>
        <w:rPr>
          <w:rFonts w:ascii="Tahoma" w:hAnsi="Tahoma" w:cs="Tahoma"/>
          <w:b/>
          <w:sz w:val="24"/>
          <w:u w:val="single"/>
        </w:rPr>
      </w:pPr>
      <w:r w:rsidRPr="003E3EA6">
        <w:rPr>
          <w:rFonts w:ascii="Tahoma" w:hAnsi="Tahoma" w:cs="Tahoma"/>
          <w:b/>
          <w:sz w:val="24"/>
          <w:u w:val="single"/>
        </w:rPr>
        <w:t>OBJETO A SER LICITADO:</w:t>
      </w:r>
    </w:p>
    <w:p w:rsidR="00B2260D" w:rsidRPr="003E3EA6" w:rsidRDefault="00B2260D" w:rsidP="00362A00">
      <w:pPr>
        <w:pStyle w:val="SemEspaamento"/>
        <w:spacing w:line="276" w:lineRule="auto"/>
        <w:jc w:val="both"/>
        <w:rPr>
          <w:rFonts w:ascii="Tahoma" w:hAnsi="Tahoma" w:cs="Tahoma"/>
        </w:rPr>
      </w:pPr>
    </w:p>
    <w:p w:rsidR="00244BC8" w:rsidRPr="003E3EA6" w:rsidRDefault="00244BC8" w:rsidP="00362A00">
      <w:pPr>
        <w:pStyle w:val="SemEspaamento"/>
        <w:spacing w:line="276" w:lineRule="auto"/>
        <w:ind w:firstLine="1843"/>
        <w:jc w:val="both"/>
        <w:rPr>
          <w:rFonts w:ascii="Tahoma" w:hAnsi="Tahoma" w:cs="Tahoma"/>
          <w:b/>
          <w:bCs/>
          <w:iCs/>
          <w:sz w:val="21"/>
          <w:szCs w:val="21"/>
        </w:rPr>
      </w:pPr>
      <w:proofErr w:type="gramStart"/>
      <w:r w:rsidRPr="003E3EA6">
        <w:rPr>
          <w:rFonts w:ascii="Tahoma" w:hAnsi="Tahoma" w:cs="Tahoma"/>
          <w:sz w:val="21"/>
          <w:szCs w:val="21"/>
        </w:rPr>
        <w:t>Estes autos de processo licitatório tem</w:t>
      </w:r>
      <w:proofErr w:type="gramEnd"/>
      <w:r w:rsidRPr="003E3EA6">
        <w:rPr>
          <w:rFonts w:ascii="Tahoma" w:hAnsi="Tahoma" w:cs="Tahoma"/>
          <w:sz w:val="21"/>
          <w:szCs w:val="21"/>
        </w:rPr>
        <w:t xml:space="preserve"> como objeto a </w:t>
      </w:r>
      <w:r w:rsidR="00A93821" w:rsidRPr="003E3EA6">
        <w:rPr>
          <w:rFonts w:ascii="Tahoma" w:hAnsi="Tahoma" w:cs="Tahoma"/>
          <w:sz w:val="21"/>
          <w:szCs w:val="21"/>
        </w:rPr>
        <w:t xml:space="preserve">contratação de empresa especializada para a </w:t>
      </w:r>
      <w:r w:rsidR="00A93821" w:rsidRPr="003E3EA6">
        <w:rPr>
          <w:rFonts w:ascii="Tahoma" w:hAnsi="Tahoma" w:cs="Tahoma"/>
          <w:b/>
          <w:sz w:val="21"/>
          <w:szCs w:val="21"/>
        </w:rPr>
        <w:t>prestação de serviços de assessoria e consultoria jurídica com presença física de no mínimo 08 (oito) dias uteis por mês</w:t>
      </w:r>
      <w:r w:rsidR="00A93821" w:rsidRPr="003E3EA6">
        <w:rPr>
          <w:rFonts w:ascii="Tahoma" w:hAnsi="Tahoma" w:cs="Tahoma"/>
          <w:sz w:val="21"/>
          <w:szCs w:val="21"/>
        </w:rPr>
        <w:t>, para atender as necessidades da Câmara Municipal de Nova Nazaré-MT</w:t>
      </w:r>
      <w:r w:rsidR="00EC7279" w:rsidRPr="003E3EA6">
        <w:rPr>
          <w:rFonts w:ascii="Tahoma" w:hAnsi="Tahoma" w:cs="Tahoma"/>
          <w:b/>
          <w:bCs/>
          <w:iCs/>
          <w:sz w:val="21"/>
          <w:szCs w:val="21"/>
        </w:rPr>
        <w:t>.</w:t>
      </w:r>
    </w:p>
    <w:p w:rsidR="00244BC8" w:rsidRPr="003E3EA6" w:rsidRDefault="00244BC8" w:rsidP="00362A00">
      <w:pPr>
        <w:pStyle w:val="SemEspaamento"/>
        <w:spacing w:line="276" w:lineRule="auto"/>
        <w:ind w:firstLine="1843"/>
        <w:jc w:val="both"/>
        <w:rPr>
          <w:rFonts w:ascii="Tahoma" w:hAnsi="Tahoma" w:cs="Tahoma"/>
          <w:sz w:val="21"/>
          <w:szCs w:val="21"/>
        </w:rPr>
      </w:pPr>
      <w:r w:rsidRPr="003E3EA6">
        <w:rPr>
          <w:rFonts w:ascii="Tahoma" w:hAnsi="Tahoma" w:cs="Tahoma"/>
          <w:sz w:val="21"/>
          <w:szCs w:val="21"/>
        </w:rPr>
        <w:lastRenderedPageBreak/>
        <w:t>A j</w:t>
      </w:r>
      <w:r w:rsidR="00BF2DAD" w:rsidRPr="003E3EA6">
        <w:rPr>
          <w:rFonts w:ascii="Tahoma" w:hAnsi="Tahoma" w:cs="Tahoma"/>
          <w:sz w:val="21"/>
          <w:szCs w:val="21"/>
        </w:rPr>
        <w:t xml:space="preserve">ustificativa é </w:t>
      </w:r>
      <w:r w:rsidR="003521CB" w:rsidRPr="003E3EA6">
        <w:rPr>
          <w:rFonts w:ascii="Tahoma" w:hAnsi="Tahoma" w:cs="Tahoma"/>
          <w:sz w:val="21"/>
          <w:szCs w:val="21"/>
        </w:rPr>
        <w:t xml:space="preserve">de que </w:t>
      </w:r>
      <w:r w:rsidR="00A93821" w:rsidRPr="003E3EA6">
        <w:rPr>
          <w:rFonts w:ascii="Tahoma" w:hAnsi="Tahoma" w:cs="Tahoma"/>
          <w:sz w:val="21"/>
          <w:szCs w:val="21"/>
        </w:rPr>
        <w:t xml:space="preserve">existe a necessidade de profissional  para representar a Câmara em qualquer grau de jurisdição e nos feitos em geral em que seja Autor, Réu, Assistente ou Oponente; na Elaboração de projetos de leis, resoluções, decretos, atos normativos, portarias, emitir pareceres e demais atos jurídicos; na Análise da legalidade dos projetos de lei e orientação as comissões permanentes na elaboração dos pareceres; Orientação e preparo de processos administrativos, entre outros; Assistir o Presidente em assuntos de natureza jurídica e no controle interno da legalidade dos atos da Câmara; na formalização de contratos ou termos, no acompanhamento de processos licitatórios, concursos públicos e processos seletivos; na assessoria do Presidente em suas relações com a Prefeitura e as Comissões de Inquérito Administrativo e Executar outras atividades correlatas, se justificam ao fato do crescimento da demanda dos serviços jurídicos, apresentando esclarecimentos, defesas, interpondo recursos, apresentando memoriais e realizando sustentações orais, especialmente no que tange à fiscalização contábil, financeira, orçamentária, patrimonial e operacional, a fim de que, na gestão fiscal, a câmara cumpra com os princípios da legalidade, economicidade e legitimidade;  Além do mais, consta que a contratação de profissional experiente é de suma importância, o que possibilita o bom andamento das mais variadas questões administrativas como licitação, recursos humanos, contabilidade, finanças, orçamento, legislação, tributação, desapropriações, Tribunal de Contas etc. Por outro lado, poderão surgir as ações no Poder Judiciário, assim como as reclamações na Justiça que a cada ano aumentam mais. Na maioria das vezes, tais causas judiciais ou administrativas (Tribunal de Contas) reclamam a presença de um profissional de advocacia mais experiente e versado nas questões dotadas na área do Direito Público e da Administração municipal. Sem perder de vista que a contratação de profissional de maior quilate jurídico e técnico depende do grau de confiabilidade que transmite com o histórico de seu trabalho, de modo </w:t>
      </w:r>
      <w:proofErr w:type="gramStart"/>
      <w:r w:rsidR="00A93821" w:rsidRPr="003E3EA6">
        <w:rPr>
          <w:rFonts w:ascii="Tahoma" w:hAnsi="Tahoma" w:cs="Tahoma"/>
          <w:sz w:val="21"/>
          <w:szCs w:val="21"/>
        </w:rPr>
        <w:t>à</w:t>
      </w:r>
      <w:proofErr w:type="gramEnd"/>
      <w:r w:rsidR="00A93821" w:rsidRPr="003E3EA6">
        <w:rPr>
          <w:rFonts w:ascii="Tahoma" w:hAnsi="Tahoma" w:cs="Tahoma"/>
          <w:sz w:val="21"/>
          <w:szCs w:val="21"/>
        </w:rPr>
        <w:t xml:space="preserve"> tranquilizar a Câmara Municipal de Nova Nazaré quanto a dispor de serviços de qualidade e com a eficiência necessária para atender, a contento, os relevantes interesses. Por força de mandamento constitucional, a Administração só pode adquirir os bens e serviços necessários para o atendimento do interesse público por meio de um procedimento formal, chamado licitação, tutelado por lei, em que, em condições de igualdade, particulares competem para poder contratar com a Administração, devendo prevalecer sempre a proposta mais vantajosa</w:t>
      </w:r>
      <w:r w:rsidR="003521CB" w:rsidRPr="003E3EA6">
        <w:rPr>
          <w:rFonts w:ascii="Tahoma" w:hAnsi="Tahoma" w:cs="Tahoma"/>
          <w:sz w:val="21"/>
          <w:szCs w:val="21"/>
        </w:rPr>
        <w:t xml:space="preserve">. </w:t>
      </w:r>
    </w:p>
    <w:p w:rsidR="002E05A5" w:rsidRPr="003E3EA6" w:rsidRDefault="002E05A5" w:rsidP="00362A00">
      <w:pPr>
        <w:pStyle w:val="SemEspaamento"/>
        <w:spacing w:line="276" w:lineRule="auto"/>
        <w:jc w:val="both"/>
        <w:rPr>
          <w:rFonts w:ascii="Tahoma" w:hAnsi="Tahoma" w:cs="Tahoma"/>
          <w:sz w:val="21"/>
          <w:szCs w:val="21"/>
        </w:rPr>
      </w:pPr>
    </w:p>
    <w:p w:rsidR="00244BC8" w:rsidRPr="003E3EA6" w:rsidRDefault="00244BC8" w:rsidP="00362A00">
      <w:pPr>
        <w:pStyle w:val="SemEspaamento"/>
        <w:spacing w:line="276" w:lineRule="auto"/>
        <w:ind w:firstLine="1843"/>
        <w:jc w:val="both"/>
        <w:rPr>
          <w:rFonts w:ascii="Tahoma" w:hAnsi="Tahoma" w:cs="Tahoma"/>
          <w:b/>
          <w:sz w:val="21"/>
          <w:szCs w:val="21"/>
        </w:rPr>
      </w:pPr>
      <w:r w:rsidRPr="003E3EA6">
        <w:rPr>
          <w:rFonts w:ascii="Tahoma" w:hAnsi="Tahoma" w:cs="Tahoma"/>
          <w:sz w:val="21"/>
          <w:szCs w:val="21"/>
        </w:rPr>
        <w:t xml:space="preserve">O valor </w:t>
      </w:r>
      <w:r w:rsidR="00B52EBE" w:rsidRPr="003E3EA6">
        <w:rPr>
          <w:rFonts w:ascii="Tahoma" w:hAnsi="Tahoma" w:cs="Tahoma"/>
          <w:sz w:val="21"/>
          <w:szCs w:val="21"/>
        </w:rPr>
        <w:t xml:space="preserve">do objeto está estimado em </w:t>
      </w:r>
      <w:r w:rsidR="003521CB" w:rsidRPr="003E3EA6">
        <w:rPr>
          <w:rFonts w:ascii="Tahoma" w:hAnsi="Tahoma" w:cs="Tahoma"/>
          <w:b/>
          <w:sz w:val="21"/>
          <w:szCs w:val="21"/>
        </w:rPr>
        <w:t xml:space="preserve">R$ </w:t>
      </w:r>
      <w:r w:rsidR="00A93821" w:rsidRPr="003E3EA6">
        <w:rPr>
          <w:rFonts w:ascii="Tahoma" w:hAnsi="Tahoma" w:cs="Tahoma"/>
          <w:b/>
          <w:sz w:val="21"/>
          <w:szCs w:val="21"/>
        </w:rPr>
        <w:t>70.800,00 (setenta mil e oitocentos reais</w:t>
      </w:r>
      <w:r w:rsidR="003521CB" w:rsidRPr="003E3EA6">
        <w:rPr>
          <w:rFonts w:ascii="Tahoma" w:hAnsi="Tahoma" w:cs="Tahoma"/>
          <w:b/>
          <w:sz w:val="21"/>
          <w:szCs w:val="21"/>
        </w:rPr>
        <w:t>), que será pago em 12 (doze) parcelas mensais.</w:t>
      </w:r>
    </w:p>
    <w:p w:rsidR="003521CB" w:rsidRPr="003E3EA6" w:rsidRDefault="003521CB" w:rsidP="00362A00">
      <w:pPr>
        <w:pStyle w:val="SemEspaamento"/>
        <w:spacing w:line="276" w:lineRule="auto"/>
        <w:jc w:val="both"/>
        <w:rPr>
          <w:rFonts w:ascii="Tahoma" w:hAnsi="Tahoma" w:cs="Tahoma"/>
          <w:sz w:val="21"/>
          <w:szCs w:val="21"/>
        </w:rPr>
      </w:pPr>
    </w:p>
    <w:p w:rsidR="00244BC8" w:rsidRPr="003E3EA6" w:rsidRDefault="00244BC8" w:rsidP="00362A00">
      <w:pPr>
        <w:pStyle w:val="SemEspaamento"/>
        <w:ind w:firstLine="1843"/>
        <w:rPr>
          <w:rFonts w:ascii="Tahoma" w:hAnsi="Tahoma" w:cs="Tahoma"/>
          <w:b/>
          <w:sz w:val="24"/>
          <w:u w:val="single"/>
        </w:rPr>
      </w:pPr>
      <w:r w:rsidRPr="003E3EA6">
        <w:rPr>
          <w:rFonts w:ascii="Tahoma" w:hAnsi="Tahoma" w:cs="Tahoma"/>
          <w:b/>
          <w:sz w:val="24"/>
          <w:u w:val="single"/>
        </w:rPr>
        <w:t>PROCEDIMENTO LICITATÓRIO:</w:t>
      </w:r>
    </w:p>
    <w:p w:rsidR="00B2260D" w:rsidRPr="003E3EA6" w:rsidRDefault="00B2260D" w:rsidP="00362A00">
      <w:pPr>
        <w:pStyle w:val="SemEspaamento"/>
        <w:spacing w:line="276" w:lineRule="auto"/>
        <w:rPr>
          <w:rFonts w:ascii="Tahoma" w:hAnsi="Tahoma" w:cs="Tahoma"/>
          <w:sz w:val="21"/>
          <w:szCs w:val="21"/>
        </w:rPr>
      </w:pPr>
    </w:p>
    <w:p w:rsidR="00244BC8" w:rsidRPr="003E3EA6" w:rsidRDefault="00244BC8" w:rsidP="00362A00">
      <w:pPr>
        <w:pStyle w:val="SemEspaamento"/>
        <w:spacing w:line="276" w:lineRule="auto"/>
        <w:ind w:firstLine="1843"/>
        <w:jc w:val="both"/>
        <w:rPr>
          <w:rFonts w:ascii="Tahoma" w:hAnsi="Tahoma" w:cs="Tahoma"/>
          <w:sz w:val="21"/>
          <w:szCs w:val="21"/>
        </w:rPr>
      </w:pPr>
      <w:r w:rsidRPr="003E3EA6">
        <w:rPr>
          <w:rFonts w:ascii="Tahoma" w:hAnsi="Tahoma" w:cs="Tahoma"/>
          <w:sz w:val="21"/>
          <w:szCs w:val="21"/>
        </w:rPr>
        <w:t xml:space="preserve">O procedimento licitatório especificado nestes autos é o da modalidade </w:t>
      </w:r>
      <w:r w:rsidR="00A93821" w:rsidRPr="003E3EA6">
        <w:rPr>
          <w:rFonts w:ascii="Tahoma" w:hAnsi="Tahoma" w:cs="Tahoma"/>
          <w:sz w:val="21"/>
          <w:szCs w:val="21"/>
        </w:rPr>
        <w:t>Tomada de Preços</w:t>
      </w:r>
      <w:r w:rsidRPr="003E3EA6">
        <w:rPr>
          <w:rFonts w:ascii="Tahoma" w:hAnsi="Tahoma" w:cs="Tahoma"/>
          <w:b/>
          <w:sz w:val="21"/>
          <w:szCs w:val="21"/>
        </w:rPr>
        <w:t xml:space="preserve">, </w:t>
      </w:r>
      <w:r w:rsidRPr="003E3EA6">
        <w:rPr>
          <w:rFonts w:ascii="Tahoma" w:hAnsi="Tahoma" w:cs="Tahoma"/>
          <w:sz w:val="21"/>
          <w:szCs w:val="21"/>
        </w:rPr>
        <w:t xml:space="preserve">julgamento do tipo </w:t>
      </w:r>
      <w:r w:rsidRPr="003E3EA6">
        <w:rPr>
          <w:rFonts w:ascii="Tahoma" w:hAnsi="Tahoma" w:cs="Tahoma"/>
          <w:b/>
          <w:sz w:val="21"/>
          <w:szCs w:val="21"/>
        </w:rPr>
        <w:t>menor preço</w:t>
      </w:r>
      <w:r w:rsidRPr="003E3EA6">
        <w:rPr>
          <w:rFonts w:ascii="Tahoma" w:hAnsi="Tahoma" w:cs="Tahoma"/>
          <w:sz w:val="21"/>
          <w:szCs w:val="21"/>
        </w:rPr>
        <w:t>.</w:t>
      </w:r>
      <w:r w:rsidR="002E05A5" w:rsidRPr="003E3EA6">
        <w:rPr>
          <w:rFonts w:ascii="Tahoma" w:hAnsi="Tahoma" w:cs="Tahoma"/>
          <w:sz w:val="21"/>
          <w:szCs w:val="21"/>
        </w:rPr>
        <w:t xml:space="preserve"> </w:t>
      </w:r>
      <w:r w:rsidRPr="003E3EA6">
        <w:rPr>
          <w:rFonts w:ascii="Tahoma" w:hAnsi="Tahoma" w:cs="Tahoma"/>
          <w:sz w:val="21"/>
          <w:szCs w:val="21"/>
        </w:rPr>
        <w:t>O artigo 22 da Lei 8666/93 descreve as principais modalidades de licitação originalmente existentes, dando a cada uma delas</w:t>
      </w:r>
      <w:r w:rsidR="00FB676A" w:rsidRPr="003E3EA6">
        <w:rPr>
          <w:rFonts w:ascii="Tahoma" w:hAnsi="Tahoma" w:cs="Tahoma"/>
          <w:sz w:val="21"/>
          <w:szCs w:val="21"/>
        </w:rPr>
        <w:t xml:space="preserve"> particularidades bem definidas e a m</w:t>
      </w:r>
      <w:r w:rsidRPr="003E3EA6">
        <w:rPr>
          <w:rFonts w:ascii="Tahoma" w:hAnsi="Tahoma" w:cs="Tahoma"/>
          <w:sz w:val="21"/>
          <w:szCs w:val="21"/>
        </w:rPr>
        <w:t xml:space="preserve">odalidade </w:t>
      </w:r>
      <w:r w:rsidR="00A93821" w:rsidRPr="003E3EA6">
        <w:rPr>
          <w:rFonts w:ascii="Tahoma" w:hAnsi="Tahoma" w:cs="Tahoma"/>
          <w:b/>
          <w:sz w:val="21"/>
          <w:szCs w:val="21"/>
        </w:rPr>
        <w:t xml:space="preserve">TOMADA DE PREÇOS </w:t>
      </w:r>
      <w:r w:rsidRPr="003E3EA6">
        <w:rPr>
          <w:rFonts w:ascii="Tahoma" w:hAnsi="Tahoma" w:cs="Tahoma"/>
          <w:sz w:val="21"/>
          <w:szCs w:val="21"/>
        </w:rPr>
        <w:t xml:space="preserve">está descrita no § </w:t>
      </w:r>
      <w:r w:rsidR="00A93821" w:rsidRPr="003E3EA6">
        <w:rPr>
          <w:rFonts w:ascii="Tahoma" w:hAnsi="Tahoma" w:cs="Tahoma"/>
          <w:sz w:val="21"/>
          <w:szCs w:val="21"/>
        </w:rPr>
        <w:t>2</w:t>
      </w:r>
      <w:r w:rsidRPr="003E3EA6">
        <w:rPr>
          <w:rFonts w:ascii="Tahoma" w:hAnsi="Tahoma" w:cs="Tahoma"/>
          <w:sz w:val="21"/>
          <w:szCs w:val="21"/>
        </w:rPr>
        <w:t xml:space="preserve">º do referido artigo, conforme segue: </w:t>
      </w:r>
    </w:p>
    <w:p w:rsidR="002E05A5" w:rsidRPr="003E3EA6" w:rsidRDefault="002E05A5" w:rsidP="00362A00">
      <w:pPr>
        <w:pStyle w:val="SemEspaamento"/>
        <w:spacing w:line="276" w:lineRule="auto"/>
        <w:jc w:val="both"/>
        <w:rPr>
          <w:rFonts w:ascii="Tahoma" w:hAnsi="Tahoma" w:cs="Tahoma"/>
          <w:sz w:val="21"/>
          <w:szCs w:val="21"/>
        </w:rPr>
      </w:pPr>
    </w:p>
    <w:p w:rsidR="00244BC8" w:rsidRPr="003E3EA6" w:rsidRDefault="00244BC8" w:rsidP="00362A00">
      <w:pPr>
        <w:spacing w:after="120"/>
        <w:ind w:left="2552"/>
        <w:jc w:val="both"/>
        <w:rPr>
          <w:rFonts w:ascii="Tahoma" w:hAnsi="Tahoma" w:cs="Tahoma"/>
          <w:b/>
          <w:sz w:val="19"/>
          <w:szCs w:val="19"/>
        </w:rPr>
      </w:pPr>
      <w:r w:rsidRPr="003E3EA6">
        <w:rPr>
          <w:rFonts w:ascii="Tahoma" w:hAnsi="Tahoma" w:cs="Tahoma"/>
          <w:b/>
          <w:sz w:val="19"/>
          <w:szCs w:val="19"/>
        </w:rPr>
        <w:t>§</w:t>
      </w:r>
      <w:r w:rsidR="00A93821" w:rsidRPr="003E3EA6">
        <w:rPr>
          <w:rFonts w:ascii="Tahoma" w:hAnsi="Tahoma" w:cs="Tahoma"/>
          <w:b/>
          <w:sz w:val="19"/>
          <w:szCs w:val="19"/>
        </w:rPr>
        <w:t>2</w:t>
      </w:r>
      <w:r w:rsidRPr="003E3EA6">
        <w:rPr>
          <w:rFonts w:ascii="Tahoma" w:hAnsi="Tahoma" w:cs="Tahoma"/>
          <w:b/>
          <w:sz w:val="19"/>
          <w:szCs w:val="19"/>
        </w:rPr>
        <w:t>º</w:t>
      </w:r>
      <w:r w:rsidR="00A93821" w:rsidRPr="003E3EA6">
        <w:rPr>
          <w:rFonts w:ascii="Tahoma" w:hAnsi="Tahoma" w:cs="Tahoma"/>
          <w:b/>
          <w:sz w:val="19"/>
          <w:szCs w:val="19"/>
        </w:rPr>
        <w:t xml:space="preserve"> - tomada de preços é a modalidade de licitação entre interessados devidamente cadastrados ou que atenderem todas as condições exigidas para cadastramento até o terceiro dia anterior à data do recebimento das propostas, observada a necessária qualificação</w:t>
      </w:r>
      <w:r w:rsidRPr="003E3EA6">
        <w:rPr>
          <w:rFonts w:ascii="Tahoma" w:hAnsi="Tahoma" w:cs="Tahoma"/>
          <w:b/>
          <w:sz w:val="19"/>
          <w:szCs w:val="19"/>
        </w:rPr>
        <w:t>.</w:t>
      </w:r>
    </w:p>
    <w:p w:rsidR="00244BC8" w:rsidRPr="003E3EA6" w:rsidRDefault="00244BC8" w:rsidP="00362A00">
      <w:pPr>
        <w:pStyle w:val="SemEspaamento"/>
        <w:spacing w:line="276" w:lineRule="auto"/>
        <w:jc w:val="both"/>
        <w:rPr>
          <w:rFonts w:ascii="Tahoma" w:hAnsi="Tahoma" w:cs="Tahoma"/>
          <w:sz w:val="21"/>
          <w:szCs w:val="21"/>
        </w:rPr>
      </w:pPr>
    </w:p>
    <w:p w:rsidR="003521CB" w:rsidRPr="003E3EA6" w:rsidRDefault="003521CB" w:rsidP="00362A00">
      <w:pPr>
        <w:pStyle w:val="SemEspaamento"/>
        <w:spacing w:line="276" w:lineRule="auto"/>
        <w:ind w:firstLine="1843"/>
        <w:jc w:val="both"/>
        <w:rPr>
          <w:rFonts w:ascii="Tahoma" w:hAnsi="Tahoma" w:cs="Tahoma"/>
          <w:b/>
          <w:sz w:val="21"/>
          <w:szCs w:val="21"/>
        </w:rPr>
      </w:pPr>
      <w:r w:rsidRPr="003E3EA6">
        <w:rPr>
          <w:rFonts w:ascii="Tahoma" w:hAnsi="Tahoma" w:cs="Tahoma"/>
          <w:sz w:val="21"/>
          <w:szCs w:val="21"/>
        </w:rPr>
        <w:t xml:space="preserve">A </w:t>
      </w:r>
      <w:r w:rsidR="009A05DC" w:rsidRPr="003E3EA6">
        <w:rPr>
          <w:rFonts w:ascii="Tahoma" w:hAnsi="Tahoma" w:cs="Tahoma"/>
          <w:sz w:val="21"/>
          <w:szCs w:val="21"/>
        </w:rPr>
        <w:t xml:space="preserve">Lei 8.666/93, </w:t>
      </w:r>
      <w:r w:rsidR="006C6186" w:rsidRPr="003E3EA6">
        <w:rPr>
          <w:rFonts w:ascii="Tahoma" w:hAnsi="Tahoma" w:cs="Tahoma"/>
          <w:sz w:val="21"/>
          <w:szCs w:val="21"/>
        </w:rPr>
        <w:t>atualizada</w:t>
      </w:r>
      <w:r w:rsidR="009A05DC" w:rsidRPr="003E3EA6">
        <w:rPr>
          <w:rFonts w:ascii="Tahoma" w:hAnsi="Tahoma" w:cs="Tahoma"/>
          <w:sz w:val="21"/>
          <w:szCs w:val="21"/>
        </w:rPr>
        <w:t xml:space="preserve"> pel</w:t>
      </w:r>
      <w:r w:rsidR="00FB676A" w:rsidRPr="003E3EA6">
        <w:rPr>
          <w:rFonts w:ascii="Tahoma" w:hAnsi="Tahoma" w:cs="Tahoma"/>
          <w:sz w:val="21"/>
          <w:szCs w:val="21"/>
        </w:rPr>
        <w:t>o Decreto Federal 9.412/2018 de 18/06/2018</w:t>
      </w:r>
      <w:r w:rsidRPr="003E3EA6">
        <w:rPr>
          <w:rFonts w:ascii="Tahoma" w:hAnsi="Tahoma" w:cs="Tahoma"/>
          <w:sz w:val="21"/>
          <w:szCs w:val="21"/>
        </w:rPr>
        <w:t>, estabeleceu que o limite para compras e serviços</w:t>
      </w:r>
      <w:r w:rsidR="00FB676A" w:rsidRPr="003E3EA6">
        <w:rPr>
          <w:rFonts w:ascii="Tahoma" w:hAnsi="Tahoma" w:cs="Tahoma"/>
          <w:sz w:val="21"/>
          <w:szCs w:val="21"/>
        </w:rPr>
        <w:t xml:space="preserve">, conforme Artigo 23, inciso II, “a”, </w:t>
      </w:r>
      <w:r w:rsidRPr="003E3EA6">
        <w:rPr>
          <w:rFonts w:ascii="Tahoma" w:hAnsi="Tahoma" w:cs="Tahoma"/>
          <w:sz w:val="21"/>
          <w:szCs w:val="21"/>
        </w:rPr>
        <w:t xml:space="preserve">após a </w:t>
      </w:r>
      <w:r w:rsidR="006C6186" w:rsidRPr="003E3EA6">
        <w:rPr>
          <w:rFonts w:ascii="Tahoma" w:hAnsi="Tahoma" w:cs="Tahoma"/>
          <w:sz w:val="21"/>
          <w:szCs w:val="21"/>
        </w:rPr>
        <w:t>atualização</w:t>
      </w:r>
      <w:r w:rsidRPr="003E3EA6">
        <w:rPr>
          <w:rFonts w:ascii="Tahoma" w:hAnsi="Tahoma" w:cs="Tahoma"/>
          <w:sz w:val="21"/>
          <w:szCs w:val="21"/>
        </w:rPr>
        <w:t xml:space="preserve"> </w:t>
      </w:r>
      <w:r w:rsidRPr="003E3EA6">
        <w:rPr>
          <w:rFonts w:ascii="Tahoma" w:hAnsi="Tahoma" w:cs="Tahoma"/>
          <w:sz w:val="21"/>
          <w:szCs w:val="21"/>
        </w:rPr>
        <w:lastRenderedPageBreak/>
        <w:t>pel</w:t>
      </w:r>
      <w:r w:rsidR="00FB676A" w:rsidRPr="003E3EA6">
        <w:rPr>
          <w:rFonts w:ascii="Tahoma" w:hAnsi="Tahoma" w:cs="Tahoma"/>
          <w:sz w:val="21"/>
          <w:szCs w:val="21"/>
        </w:rPr>
        <w:t xml:space="preserve">o Decreto Federal </w:t>
      </w:r>
      <w:r w:rsidRPr="003E3EA6">
        <w:rPr>
          <w:rFonts w:ascii="Tahoma" w:hAnsi="Tahoma" w:cs="Tahoma"/>
          <w:sz w:val="21"/>
          <w:szCs w:val="21"/>
        </w:rPr>
        <w:t xml:space="preserve">passou a ser </w:t>
      </w:r>
      <w:r w:rsidRPr="003E3EA6">
        <w:rPr>
          <w:rFonts w:ascii="Tahoma" w:hAnsi="Tahoma" w:cs="Tahoma"/>
          <w:b/>
          <w:sz w:val="21"/>
          <w:szCs w:val="21"/>
        </w:rPr>
        <w:t xml:space="preserve">R$ </w:t>
      </w:r>
      <w:r w:rsidR="00FB676A" w:rsidRPr="003E3EA6">
        <w:rPr>
          <w:rFonts w:ascii="Tahoma" w:hAnsi="Tahoma" w:cs="Tahoma"/>
          <w:b/>
          <w:sz w:val="21"/>
          <w:szCs w:val="21"/>
        </w:rPr>
        <w:t>1.430.000,00 (um milhão, quatrocentos e trinta mil reais</w:t>
      </w:r>
      <w:r w:rsidRPr="003E3EA6">
        <w:rPr>
          <w:rFonts w:ascii="Tahoma" w:hAnsi="Tahoma" w:cs="Tahoma"/>
          <w:b/>
          <w:sz w:val="21"/>
          <w:szCs w:val="21"/>
        </w:rPr>
        <w:t>).</w:t>
      </w:r>
    </w:p>
    <w:p w:rsidR="006C6186" w:rsidRPr="003E3EA6" w:rsidRDefault="006C6186" w:rsidP="00362A00">
      <w:pPr>
        <w:pStyle w:val="SemEspaamento"/>
        <w:spacing w:line="276" w:lineRule="auto"/>
        <w:ind w:firstLine="1843"/>
        <w:jc w:val="both"/>
        <w:rPr>
          <w:rFonts w:ascii="Tahoma" w:hAnsi="Tahoma" w:cs="Tahoma"/>
          <w:sz w:val="21"/>
          <w:szCs w:val="21"/>
        </w:rPr>
      </w:pPr>
    </w:p>
    <w:p w:rsidR="003521CB" w:rsidRPr="003E3EA6" w:rsidRDefault="003521CB" w:rsidP="00362A00">
      <w:pPr>
        <w:pStyle w:val="SemEspaamento"/>
        <w:spacing w:line="276" w:lineRule="auto"/>
        <w:ind w:firstLine="1843"/>
        <w:jc w:val="both"/>
        <w:rPr>
          <w:rFonts w:ascii="Tahoma" w:hAnsi="Tahoma" w:cs="Tahoma"/>
          <w:b/>
          <w:sz w:val="21"/>
          <w:szCs w:val="21"/>
        </w:rPr>
      </w:pPr>
      <w:r w:rsidRPr="003E3EA6">
        <w:rPr>
          <w:rFonts w:ascii="Tahoma" w:hAnsi="Tahoma" w:cs="Tahoma"/>
          <w:sz w:val="21"/>
          <w:szCs w:val="21"/>
        </w:rPr>
        <w:t xml:space="preserve">Após a pesquisa de preços </w:t>
      </w:r>
      <w:r w:rsidR="00262E53" w:rsidRPr="003E3EA6">
        <w:rPr>
          <w:rFonts w:ascii="Tahoma" w:hAnsi="Tahoma" w:cs="Tahoma"/>
          <w:sz w:val="21"/>
          <w:szCs w:val="21"/>
        </w:rPr>
        <w:t xml:space="preserve">através de </w:t>
      </w:r>
      <w:r w:rsidR="009A05DC" w:rsidRPr="003E3EA6">
        <w:rPr>
          <w:rFonts w:ascii="Tahoma" w:hAnsi="Tahoma" w:cs="Tahoma"/>
          <w:sz w:val="21"/>
          <w:szCs w:val="21"/>
        </w:rPr>
        <w:t>consultas realizadas no portal do TCE/MT (espaço cidadão)</w:t>
      </w:r>
      <w:r w:rsidRPr="003E3EA6">
        <w:rPr>
          <w:rFonts w:ascii="Tahoma" w:hAnsi="Tahoma" w:cs="Tahoma"/>
          <w:sz w:val="21"/>
          <w:szCs w:val="21"/>
        </w:rPr>
        <w:t xml:space="preserve">, chegou-se a um preço médio de </w:t>
      </w:r>
      <w:r w:rsidRPr="003E3EA6">
        <w:rPr>
          <w:rFonts w:ascii="Tahoma" w:hAnsi="Tahoma" w:cs="Tahoma"/>
          <w:b/>
          <w:sz w:val="21"/>
          <w:szCs w:val="21"/>
        </w:rPr>
        <w:t>R$</w:t>
      </w:r>
      <w:r w:rsidR="009A05DC" w:rsidRPr="003E3EA6">
        <w:rPr>
          <w:rFonts w:ascii="Tahoma" w:hAnsi="Tahoma" w:cs="Tahoma"/>
          <w:b/>
          <w:sz w:val="21"/>
          <w:szCs w:val="21"/>
        </w:rPr>
        <w:t xml:space="preserve"> </w:t>
      </w:r>
      <w:r w:rsidR="00262E53" w:rsidRPr="003E3EA6">
        <w:rPr>
          <w:rFonts w:ascii="Tahoma" w:hAnsi="Tahoma" w:cs="Tahoma"/>
          <w:b/>
          <w:sz w:val="21"/>
          <w:szCs w:val="21"/>
        </w:rPr>
        <w:t>5.900,00</w:t>
      </w:r>
      <w:r w:rsidR="009A05DC" w:rsidRPr="003E3EA6">
        <w:rPr>
          <w:rFonts w:ascii="Tahoma" w:hAnsi="Tahoma" w:cs="Tahoma"/>
          <w:b/>
          <w:sz w:val="21"/>
          <w:szCs w:val="21"/>
        </w:rPr>
        <w:t xml:space="preserve"> (</w:t>
      </w:r>
      <w:r w:rsidR="00262E53" w:rsidRPr="003E3EA6">
        <w:rPr>
          <w:rFonts w:ascii="Tahoma" w:hAnsi="Tahoma" w:cs="Tahoma"/>
          <w:b/>
          <w:sz w:val="21"/>
          <w:szCs w:val="21"/>
        </w:rPr>
        <w:t>cinco mil e novecentos reais</w:t>
      </w:r>
      <w:r w:rsidR="009A05DC" w:rsidRPr="003E3EA6">
        <w:rPr>
          <w:rFonts w:ascii="Tahoma" w:hAnsi="Tahoma" w:cs="Tahoma"/>
          <w:b/>
          <w:sz w:val="21"/>
          <w:szCs w:val="21"/>
        </w:rPr>
        <w:t>).</w:t>
      </w:r>
      <w:r w:rsidR="00E7511A" w:rsidRPr="003E3EA6">
        <w:rPr>
          <w:rFonts w:ascii="Tahoma" w:hAnsi="Tahoma" w:cs="Tahoma"/>
          <w:b/>
          <w:sz w:val="21"/>
          <w:szCs w:val="21"/>
        </w:rPr>
        <w:t xml:space="preserve"> </w:t>
      </w:r>
    </w:p>
    <w:p w:rsidR="00362A00" w:rsidRPr="003E3EA6" w:rsidRDefault="00362A00" w:rsidP="00362A00">
      <w:pPr>
        <w:pStyle w:val="SemEspaamento"/>
        <w:spacing w:line="276" w:lineRule="auto"/>
        <w:ind w:firstLine="1843"/>
        <w:jc w:val="both"/>
        <w:rPr>
          <w:rFonts w:ascii="Tahoma" w:hAnsi="Tahoma" w:cs="Tahoma"/>
          <w:sz w:val="21"/>
          <w:szCs w:val="21"/>
          <w:shd w:val="clear" w:color="auto" w:fill="FFFFFF"/>
        </w:rPr>
      </w:pPr>
    </w:p>
    <w:p w:rsidR="00244BC8" w:rsidRPr="003E3EA6" w:rsidRDefault="00244BC8" w:rsidP="00362A00">
      <w:pPr>
        <w:pStyle w:val="SemEspaamento"/>
        <w:spacing w:line="276" w:lineRule="auto"/>
        <w:ind w:firstLine="1843"/>
        <w:jc w:val="both"/>
        <w:rPr>
          <w:rFonts w:ascii="Tahoma" w:hAnsi="Tahoma" w:cs="Tahoma"/>
          <w:sz w:val="21"/>
          <w:szCs w:val="21"/>
          <w:shd w:val="clear" w:color="auto" w:fill="FFFFFF"/>
        </w:rPr>
      </w:pPr>
      <w:r w:rsidRPr="003E3EA6">
        <w:rPr>
          <w:rFonts w:ascii="Tahoma" w:hAnsi="Tahoma" w:cs="Tahoma"/>
          <w:sz w:val="21"/>
          <w:szCs w:val="21"/>
          <w:shd w:val="clear" w:color="auto" w:fill="FFFFFF"/>
        </w:rPr>
        <w:t>A publicidade busca não apenas possibilitar a fiscalização do processo licitatório a qualquer interessado, como também a participação desses. Objetiva permitir o amplo acesso dos interessados ao certame.</w:t>
      </w:r>
    </w:p>
    <w:p w:rsidR="006C6186" w:rsidRPr="003E3EA6" w:rsidRDefault="006C6186" w:rsidP="00362A00">
      <w:pPr>
        <w:pStyle w:val="SemEspaamento"/>
        <w:spacing w:line="276" w:lineRule="auto"/>
        <w:ind w:firstLine="1843"/>
        <w:jc w:val="both"/>
        <w:rPr>
          <w:rFonts w:ascii="Tahoma" w:hAnsi="Tahoma" w:cs="Tahoma"/>
          <w:sz w:val="21"/>
          <w:szCs w:val="21"/>
        </w:rPr>
      </w:pPr>
    </w:p>
    <w:p w:rsidR="003B0325" w:rsidRPr="003E3EA6" w:rsidRDefault="00563B45" w:rsidP="00362A00">
      <w:pPr>
        <w:pStyle w:val="SemEspaamento"/>
        <w:spacing w:line="276" w:lineRule="auto"/>
        <w:ind w:firstLine="1843"/>
        <w:jc w:val="both"/>
        <w:rPr>
          <w:rFonts w:ascii="Tahoma" w:hAnsi="Tahoma" w:cs="Tahoma"/>
          <w:sz w:val="21"/>
          <w:szCs w:val="21"/>
        </w:rPr>
      </w:pPr>
      <w:r w:rsidRPr="003E3EA6">
        <w:rPr>
          <w:rFonts w:ascii="Tahoma" w:hAnsi="Tahoma" w:cs="Tahoma"/>
          <w:sz w:val="21"/>
          <w:szCs w:val="21"/>
        </w:rPr>
        <w:t>Os autos estão</w:t>
      </w:r>
      <w:r w:rsidR="00244BC8" w:rsidRPr="003E3EA6">
        <w:rPr>
          <w:rFonts w:ascii="Tahoma" w:hAnsi="Tahoma" w:cs="Tahoma"/>
          <w:sz w:val="21"/>
          <w:szCs w:val="21"/>
        </w:rPr>
        <w:t xml:space="preserve"> instruídos com a s</w:t>
      </w:r>
      <w:r w:rsidRPr="003E3EA6">
        <w:rPr>
          <w:rFonts w:ascii="Tahoma" w:hAnsi="Tahoma" w:cs="Tahoma"/>
          <w:sz w:val="21"/>
          <w:szCs w:val="21"/>
        </w:rPr>
        <w:t>olicitaç</w:t>
      </w:r>
      <w:r w:rsidR="009B5E1B" w:rsidRPr="003E3EA6">
        <w:rPr>
          <w:rFonts w:ascii="Tahoma" w:hAnsi="Tahoma" w:cs="Tahoma"/>
          <w:sz w:val="21"/>
          <w:szCs w:val="21"/>
        </w:rPr>
        <w:t>ão</w:t>
      </w:r>
      <w:r w:rsidRPr="003E3EA6">
        <w:rPr>
          <w:rFonts w:ascii="Tahoma" w:hAnsi="Tahoma" w:cs="Tahoma"/>
          <w:sz w:val="21"/>
          <w:szCs w:val="21"/>
        </w:rPr>
        <w:t xml:space="preserve"> e justificativa d</w:t>
      </w:r>
      <w:r w:rsidR="009B5E1B" w:rsidRPr="003E3EA6">
        <w:rPr>
          <w:rFonts w:ascii="Tahoma" w:hAnsi="Tahoma" w:cs="Tahoma"/>
          <w:sz w:val="21"/>
          <w:szCs w:val="21"/>
        </w:rPr>
        <w:t xml:space="preserve">o Presidente; </w:t>
      </w:r>
      <w:r w:rsidR="00244BC8" w:rsidRPr="003E3EA6">
        <w:rPr>
          <w:rFonts w:ascii="Tahoma" w:hAnsi="Tahoma" w:cs="Tahoma"/>
          <w:sz w:val="21"/>
          <w:szCs w:val="21"/>
        </w:rPr>
        <w:t>Autorizaçã</w:t>
      </w:r>
      <w:r w:rsidR="0009316C" w:rsidRPr="003E3EA6">
        <w:rPr>
          <w:rFonts w:ascii="Tahoma" w:hAnsi="Tahoma" w:cs="Tahoma"/>
          <w:sz w:val="21"/>
          <w:szCs w:val="21"/>
        </w:rPr>
        <w:t>o do Ordenador de Despe</w:t>
      </w:r>
      <w:r w:rsidR="009B5E1B" w:rsidRPr="003E3EA6">
        <w:rPr>
          <w:rFonts w:ascii="Tahoma" w:hAnsi="Tahoma" w:cs="Tahoma"/>
          <w:sz w:val="21"/>
          <w:szCs w:val="21"/>
        </w:rPr>
        <w:t>s</w:t>
      </w:r>
      <w:r w:rsidR="0009316C" w:rsidRPr="003E3EA6">
        <w:rPr>
          <w:rFonts w:ascii="Tahoma" w:hAnsi="Tahoma" w:cs="Tahoma"/>
          <w:sz w:val="21"/>
          <w:szCs w:val="21"/>
        </w:rPr>
        <w:t>as para</w:t>
      </w:r>
      <w:r w:rsidR="00244BC8" w:rsidRPr="003E3EA6">
        <w:rPr>
          <w:rFonts w:ascii="Tahoma" w:hAnsi="Tahoma" w:cs="Tahoma"/>
          <w:sz w:val="21"/>
          <w:szCs w:val="21"/>
        </w:rPr>
        <w:t xml:space="preserve"> instauração do procedimento licitatório; Informação da dotação orçamentária; do Edital, acompanhado de seus anexos, ent</w:t>
      </w:r>
      <w:r w:rsidR="00D33C72" w:rsidRPr="003E3EA6">
        <w:rPr>
          <w:rFonts w:ascii="Tahoma" w:hAnsi="Tahoma" w:cs="Tahoma"/>
          <w:sz w:val="21"/>
          <w:szCs w:val="21"/>
        </w:rPr>
        <w:t>r</w:t>
      </w:r>
      <w:r w:rsidR="006B553A" w:rsidRPr="003E3EA6">
        <w:rPr>
          <w:rFonts w:ascii="Tahoma" w:hAnsi="Tahoma" w:cs="Tahoma"/>
          <w:sz w:val="21"/>
          <w:szCs w:val="21"/>
        </w:rPr>
        <w:t xml:space="preserve">e eles o da Minuta do Contrato e, ainda, </w:t>
      </w:r>
      <w:proofErr w:type="gramStart"/>
      <w:r w:rsidR="00414B96" w:rsidRPr="003E3EA6">
        <w:rPr>
          <w:rFonts w:ascii="Tahoma" w:hAnsi="Tahoma" w:cs="Tahoma"/>
          <w:sz w:val="21"/>
          <w:szCs w:val="21"/>
        </w:rPr>
        <w:t>d</w:t>
      </w:r>
      <w:r w:rsidR="00D33C72" w:rsidRPr="003E3EA6">
        <w:rPr>
          <w:rFonts w:ascii="Tahoma" w:hAnsi="Tahoma" w:cs="Tahoma"/>
          <w:sz w:val="21"/>
          <w:szCs w:val="21"/>
        </w:rPr>
        <w:t>o orçamentos</w:t>
      </w:r>
      <w:proofErr w:type="gramEnd"/>
      <w:r w:rsidR="00D33C72" w:rsidRPr="003E3EA6">
        <w:rPr>
          <w:rFonts w:ascii="Tahoma" w:hAnsi="Tahoma" w:cs="Tahoma"/>
          <w:sz w:val="21"/>
          <w:szCs w:val="21"/>
        </w:rPr>
        <w:t xml:space="preserve">. </w:t>
      </w:r>
    </w:p>
    <w:p w:rsidR="006154A5" w:rsidRPr="003E3EA6" w:rsidRDefault="006154A5" w:rsidP="00362A00">
      <w:pPr>
        <w:pStyle w:val="SemEspaamento"/>
        <w:spacing w:line="276" w:lineRule="auto"/>
        <w:ind w:firstLine="1843"/>
        <w:jc w:val="both"/>
        <w:rPr>
          <w:rFonts w:ascii="Tahoma" w:hAnsi="Tahoma" w:cs="Tahoma"/>
          <w:sz w:val="21"/>
          <w:szCs w:val="21"/>
        </w:rPr>
      </w:pPr>
    </w:p>
    <w:p w:rsidR="00244BC8" w:rsidRPr="003E3EA6" w:rsidRDefault="00244BC8" w:rsidP="00362A00">
      <w:pPr>
        <w:pStyle w:val="SemEspaamento"/>
        <w:ind w:firstLine="1843"/>
        <w:rPr>
          <w:rFonts w:ascii="Tahoma" w:hAnsi="Tahoma" w:cs="Tahoma"/>
          <w:b/>
          <w:sz w:val="24"/>
          <w:u w:val="single"/>
        </w:rPr>
      </w:pPr>
      <w:r w:rsidRPr="003E3EA6">
        <w:rPr>
          <w:rFonts w:ascii="Tahoma" w:hAnsi="Tahoma" w:cs="Tahoma"/>
          <w:b/>
          <w:sz w:val="24"/>
          <w:u w:val="single"/>
        </w:rPr>
        <w:t>EDITAL:</w:t>
      </w:r>
    </w:p>
    <w:p w:rsidR="00B2260D" w:rsidRPr="003E3EA6" w:rsidRDefault="00B2260D" w:rsidP="00362A00">
      <w:pPr>
        <w:pStyle w:val="SemEspaamento"/>
        <w:spacing w:line="276" w:lineRule="auto"/>
        <w:rPr>
          <w:rFonts w:ascii="Tahoma" w:hAnsi="Tahoma" w:cs="Tahoma"/>
          <w:sz w:val="21"/>
          <w:szCs w:val="21"/>
        </w:rPr>
      </w:pPr>
    </w:p>
    <w:p w:rsidR="00244BC8" w:rsidRPr="003E3EA6" w:rsidRDefault="00244BC8" w:rsidP="00362A00">
      <w:pPr>
        <w:pStyle w:val="SemEspaamento"/>
        <w:spacing w:line="276" w:lineRule="auto"/>
        <w:ind w:firstLine="1843"/>
        <w:jc w:val="both"/>
        <w:rPr>
          <w:rFonts w:ascii="Tahoma" w:hAnsi="Tahoma" w:cs="Tahoma"/>
          <w:sz w:val="21"/>
          <w:szCs w:val="21"/>
        </w:rPr>
      </w:pPr>
      <w:r w:rsidRPr="003E3EA6">
        <w:rPr>
          <w:rFonts w:ascii="Tahoma" w:hAnsi="Tahoma" w:cs="Tahoma"/>
          <w:sz w:val="21"/>
          <w:szCs w:val="21"/>
        </w:rPr>
        <w:t xml:space="preserve">O Edital é de suma importância para um certame de licitação, haja vista ser ele </w:t>
      </w:r>
      <w:r w:rsidRPr="003E3EA6">
        <w:rPr>
          <w:rFonts w:ascii="Tahoma" w:hAnsi="Tahoma" w:cs="Tahoma"/>
          <w:sz w:val="21"/>
          <w:szCs w:val="21"/>
          <w:shd w:val="clear" w:color="auto" w:fill="FFFFFF"/>
        </w:rPr>
        <w:t xml:space="preserve">a </w:t>
      </w:r>
      <w:r w:rsidRPr="003E3EA6">
        <w:rPr>
          <w:rFonts w:ascii="Tahoma" w:hAnsi="Tahoma" w:cs="Tahoma"/>
          <w:b/>
          <w:sz w:val="21"/>
          <w:szCs w:val="21"/>
          <w:shd w:val="clear" w:color="auto" w:fill="FFFFFF"/>
        </w:rPr>
        <w:t>lei interna do procedimento licitatório</w:t>
      </w:r>
      <w:r w:rsidRPr="003E3EA6">
        <w:rPr>
          <w:rFonts w:ascii="Tahoma" w:hAnsi="Tahoma" w:cs="Tahoma"/>
          <w:sz w:val="21"/>
          <w:szCs w:val="21"/>
          <w:shd w:val="clear" w:color="auto" w:fill="FFFFFF"/>
        </w:rPr>
        <w:t xml:space="preserve">. </w:t>
      </w:r>
      <w:r w:rsidRPr="003E3EA6">
        <w:rPr>
          <w:rFonts w:ascii="Tahoma" w:hAnsi="Tahoma" w:cs="Tahoma"/>
          <w:sz w:val="21"/>
          <w:szCs w:val="21"/>
        </w:rPr>
        <w:t xml:space="preserve">A administração está vinculada às regras, ao que está previsto no Edital, nos termos do art. 41, da lei 8.666/93: </w:t>
      </w:r>
    </w:p>
    <w:p w:rsidR="006C6186" w:rsidRPr="003E3EA6" w:rsidRDefault="006C6186" w:rsidP="00362A00">
      <w:pPr>
        <w:pStyle w:val="SemEspaamento"/>
        <w:spacing w:line="276" w:lineRule="auto"/>
        <w:rPr>
          <w:rFonts w:ascii="Tahoma" w:hAnsi="Tahoma" w:cs="Tahoma"/>
          <w:sz w:val="21"/>
          <w:szCs w:val="21"/>
        </w:rPr>
      </w:pPr>
    </w:p>
    <w:p w:rsidR="00244BC8" w:rsidRPr="003E3EA6" w:rsidRDefault="00244BC8" w:rsidP="003E3EA6">
      <w:pPr>
        <w:pStyle w:val="SemEspaamento"/>
        <w:spacing w:line="276" w:lineRule="auto"/>
        <w:ind w:left="2552"/>
        <w:jc w:val="both"/>
        <w:rPr>
          <w:rFonts w:ascii="Tahoma" w:hAnsi="Tahoma" w:cs="Tahoma"/>
          <w:b/>
          <w:sz w:val="19"/>
          <w:szCs w:val="19"/>
        </w:rPr>
      </w:pPr>
      <w:r w:rsidRPr="003E3EA6">
        <w:rPr>
          <w:rFonts w:ascii="Tahoma" w:hAnsi="Tahoma" w:cs="Tahoma"/>
          <w:b/>
          <w:sz w:val="19"/>
          <w:szCs w:val="19"/>
        </w:rPr>
        <w:t xml:space="preserve">A Administração não pode descumprir as normas e condições do edital, ao qual se acha estritamente vinculada.  </w:t>
      </w:r>
    </w:p>
    <w:p w:rsidR="00244BC8" w:rsidRPr="003E3EA6" w:rsidRDefault="00244BC8" w:rsidP="00362A00">
      <w:pPr>
        <w:pStyle w:val="SemEspaamento"/>
        <w:spacing w:line="276" w:lineRule="auto"/>
        <w:rPr>
          <w:rFonts w:ascii="Tahoma" w:hAnsi="Tahoma" w:cs="Tahoma"/>
          <w:sz w:val="23"/>
          <w:szCs w:val="23"/>
        </w:rPr>
      </w:pPr>
    </w:p>
    <w:p w:rsidR="00244BC8" w:rsidRPr="003E3EA6" w:rsidRDefault="00244BC8" w:rsidP="00362A00">
      <w:pPr>
        <w:pStyle w:val="SemEspaamento"/>
        <w:spacing w:line="276" w:lineRule="auto"/>
        <w:ind w:firstLine="1843"/>
        <w:jc w:val="both"/>
        <w:rPr>
          <w:rFonts w:ascii="Tahoma" w:hAnsi="Tahoma" w:cs="Tahoma"/>
        </w:rPr>
      </w:pPr>
      <w:r w:rsidRPr="003E3EA6">
        <w:rPr>
          <w:rFonts w:ascii="Tahoma" w:hAnsi="Tahoma" w:cs="Tahoma"/>
        </w:rPr>
        <w:t xml:space="preserve">O Edital do presente procedimento licitatório cumpriu as exigências legais, no caso indicando a modalidade de </w:t>
      </w:r>
      <w:r w:rsidR="005F2EFC" w:rsidRPr="003E3EA6">
        <w:rPr>
          <w:rFonts w:ascii="Tahoma" w:hAnsi="Tahoma" w:cs="Tahoma"/>
        </w:rPr>
        <w:t>Tomada de Preços</w:t>
      </w:r>
      <w:r w:rsidRPr="003E3EA6">
        <w:rPr>
          <w:rFonts w:ascii="Tahoma" w:hAnsi="Tahoma" w:cs="Tahoma"/>
        </w:rPr>
        <w:t xml:space="preserve">. Ainda, especificando o tipo de Menor Preço </w:t>
      </w:r>
      <w:r w:rsidR="005F2EFC" w:rsidRPr="003E3EA6">
        <w:rPr>
          <w:rFonts w:ascii="Tahoma" w:hAnsi="Tahoma" w:cs="Tahoma"/>
        </w:rPr>
        <w:t xml:space="preserve">global, </w:t>
      </w:r>
      <w:r w:rsidRPr="003E3EA6">
        <w:rPr>
          <w:rFonts w:ascii="Tahoma" w:hAnsi="Tahoma" w:cs="Tahoma"/>
        </w:rPr>
        <w:t xml:space="preserve">fixa a data, hora e local para recebimento dos envelopes contendo habilitação e propostas, informa as condições de participação, abertura de envelopes e julgamento, forma de execução, condição de </w:t>
      </w:r>
      <w:r w:rsidR="006C6186" w:rsidRPr="003E3EA6">
        <w:rPr>
          <w:rFonts w:ascii="Tahoma" w:hAnsi="Tahoma" w:cs="Tahoma"/>
        </w:rPr>
        <w:t>p</w:t>
      </w:r>
      <w:r w:rsidRPr="003E3EA6">
        <w:rPr>
          <w:rFonts w:ascii="Tahoma" w:hAnsi="Tahoma" w:cs="Tahoma"/>
        </w:rPr>
        <w:t>agamento, sanções, entre outros.</w:t>
      </w:r>
    </w:p>
    <w:p w:rsidR="000229C0" w:rsidRPr="003E3EA6" w:rsidRDefault="000229C0" w:rsidP="00362A00">
      <w:pPr>
        <w:pStyle w:val="SemEspaamento"/>
        <w:spacing w:line="276" w:lineRule="auto"/>
        <w:rPr>
          <w:rFonts w:ascii="Tahoma" w:hAnsi="Tahoma" w:cs="Tahoma"/>
        </w:rPr>
      </w:pPr>
    </w:p>
    <w:p w:rsidR="00244BC8" w:rsidRPr="003E3EA6" w:rsidRDefault="00244BC8" w:rsidP="003E3EA6">
      <w:pPr>
        <w:pStyle w:val="SemEspaamento"/>
        <w:ind w:firstLine="1843"/>
        <w:rPr>
          <w:rFonts w:ascii="Tahoma" w:hAnsi="Tahoma" w:cs="Tahoma"/>
          <w:b/>
          <w:sz w:val="24"/>
          <w:u w:val="single"/>
        </w:rPr>
      </w:pPr>
      <w:r w:rsidRPr="003E3EA6">
        <w:rPr>
          <w:rFonts w:ascii="Tahoma" w:hAnsi="Tahoma" w:cs="Tahoma"/>
          <w:b/>
          <w:sz w:val="24"/>
          <w:u w:val="single"/>
        </w:rPr>
        <w:t>MINUTA DO CONTRATO E ANEXOS:</w:t>
      </w:r>
    </w:p>
    <w:p w:rsidR="00B2260D" w:rsidRPr="003E3EA6" w:rsidRDefault="00B2260D" w:rsidP="00362A00">
      <w:pPr>
        <w:pStyle w:val="SemEspaamento"/>
        <w:spacing w:line="276" w:lineRule="auto"/>
        <w:rPr>
          <w:rFonts w:ascii="Tahoma" w:hAnsi="Tahoma" w:cs="Tahoma"/>
        </w:rPr>
      </w:pPr>
    </w:p>
    <w:p w:rsidR="00244BC8" w:rsidRPr="003E3EA6" w:rsidRDefault="00244BC8" w:rsidP="00362A00">
      <w:pPr>
        <w:pStyle w:val="SemEspaamento"/>
        <w:spacing w:line="276" w:lineRule="auto"/>
        <w:ind w:firstLine="1843"/>
        <w:jc w:val="both"/>
        <w:rPr>
          <w:rFonts w:ascii="Tahoma" w:hAnsi="Tahoma" w:cs="Tahoma"/>
        </w:rPr>
      </w:pPr>
      <w:r w:rsidRPr="003E3EA6">
        <w:rPr>
          <w:rFonts w:ascii="Tahoma" w:hAnsi="Tahoma" w:cs="Tahoma"/>
        </w:rPr>
        <w:t>A minuta do contrato é um requisito no procedimento licitatório, conforme previsto na lei, nos termos do art. 62, § 1º, da lei 8.666/93, que apresenta a seguinte redação:</w:t>
      </w:r>
    </w:p>
    <w:p w:rsidR="006C6186" w:rsidRPr="003E3EA6" w:rsidRDefault="006C6186" w:rsidP="00362A00">
      <w:pPr>
        <w:pStyle w:val="SemEspaamento"/>
        <w:spacing w:line="276" w:lineRule="auto"/>
        <w:rPr>
          <w:rFonts w:ascii="Tahoma" w:hAnsi="Tahoma" w:cs="Tahoma"/>
        </w:rPr>
      </w:pPr>
    </w:p>
    <w:p w:rsidR="00244BC8" w:rsidRPr="003E3EA6" w:rsidRDefault="00244BC8" w:rsidP="003E3EA6">
      <w:pPr>
        <w:pStyle w:val="SemEspaamento"/>
        <w:ind w:left="2552"/>
        <w:jc w:val="both"/>
        <w:rPr>
          <w:rFonts w:ascii="Tahoma" w:hAnsi="Tahoma" w:cs="Tahoma"/>
          <w:b/>
          <w:sz w:val="19"/>
          <w:szCs w:val="19"/>
        </w:rPr>
      </w:pPr>
      <w:r w:rsidRPr="003E3EA6">
        <w:rPr>
          <w:rFonts w:ascii="Tahoma" w:hAnsi="Tahoma" w:cs="Tahoma"/>
          <w:b/>
          <w:sz w:val="19"/>
          <w:szCs w:val="19"/>
        </w:rPr>
        <w:t>A minuta do futuro contrato integrará sempre o edital ou ato convocatório da licitação.</w:t>
      </w:r>
    </w:p>
    <w:p w:rsidR="00244BC8" w:rsidRPr="003E3EA6" w:rsidRDefault="00244BC8" w:rsidP="00362A00">
      <w:pPr>
        <w:pStyle w:val="SemEspaamento"/>
        <w:spacing w:line="276" w:lineRule="auto"/>
        <w:rPr>
          <w:rFonts w:ascii="Tahoma" w:hAnsi="Tahoma" w:cs="Tahoma"/>
        </w:rPr>
      </w:pPr>
    </w:p>
    <w:p w:rsidR="00244BC8" w:rsidRPr="003E3EA6" w:rsidRDefault="00244BC8" w:rsidP="00362A00">
      <w:pPr>
        <w:pStyle w:val="SemEspaamento"/>
        <w:spacing w:line="276" w:lineRule="auto"/>
        <w:ind w:firstLine="1843"/>
        <w:jc w:val="both"/>
        <w:rPr>
          <w:rFonts w:ascii="Tahoma" w:hAnsi="Tahoma" w:cs="Tahoma"/>
        </w:rPr>
      </w:pPr>
      <w:r w:rsidRPr="003E3EA6">
        <w:rPr>
          <w:rFonts w:ascii="Tahoma" w:hAnsi="Tahoma" w:cs="Tahoma"/>
        </w:rPr>
        <w:t>Percebe-se nos autos a existência da Minuta do Contrato, conforme anexo</w:t>
      </w:r>
      <w:r w:rsidR="00502907" w:rsidRPr="003E3EA6">
        <w:rPr>
          <w:rFonts w:ascii="Tahoma" w:hAnsi="Tahoma" w:cs="Tahoma"/>
        </w:rPr>
        <w:t xml:space="preserve"> VI</w:t>
      </w:r>
      <w:r w:rsidRPr="003E3EA6">
        <w:rPr>
          <w:rFonts w:ascii="Tahoma" w:hAnsi="Tahoma" w:cs="Tahoma"/>
        </w:rPr>
        <w:t>, acrescentando que a Minuta deve constar as cláusulas necessárias, previstas no art. 55 da Lei 8.666/93. Observa-se, ainda, a existência dos demais anexos descritos no Edital.</w:t>
      </w:r>
    </w:p>
    <w:p w:rsidR="00871814" w:rsidRPr="003E3EA6" w:rsidRDefault="00871814" w:rsidP="00362A00">
      <w:pPr>
        <w:pStyle w:val="SemEspaamento"/>
        <w:spacing w:line="276" w:lineRule="auto"/>
        <w:ind w:firstLine="1843"/>
        <w:jc w:val="both"/>
        <w:rPr>
          <w:rFonts w:ascii="Tahoma" w:hAnsi="Tahoma" w:cs="Tahoma"/>
          <w:b/>
          <w:u w:val="single"/>
        </w:rPr>
      </w:pPr>
    </w:p>
    <w:p w:rsidR="00244BC8" w:rsidRPr="003E3EA6" w:rsidRDefault="00244BC8" w:rsidP="003E3EA6">
      <w:pPr>
        <w:pStyle w:val="SemEspaamento"/>
        <w:ind w:firstLine="1843"/>
        <w:rPr>
          <w:rFonts w:ascii="Tahoma" w:hAnsi="Tahoma" w:cs="Tahoma"/>
          <w:b/>
          <w:sz w:val="24"/>
          <w:u w:val="single"/>
        </w:rPr>
      </w:pPr>
      <w:r w:rsidRPr="003E3EA6">
        <w:rPr>
          <w:rFonts w:ascii="Tahoma" w:hAnsi="Tahoma" w:cs="Tahoma"/>
          <w:b/>
          <w:sz w:val="24"/>
          <w:u w:val="single"/>
        </w:rPr>
        <w:t>CONCLUSÃO</w:t>
      </w:r>
    </w:p>
    <w:p w:rsidR="00B2260D" w:rsidRPr="003E3EA6" w:rsidRDefault="00B2260D" w:rsidP="00362A00">
      <w:pPr>
        <w:pStyle w:val="SemEspaamento"/>
        <w:spacing w:line="276" w:lineRule="auto"/>
        <w:rPr>
          <w:rStyle w:val="tamanho18"/>
          <w:rFonts w:ascii="Tahoma" w:hAnsi="Tahoma" w:cs="Tahoma"/>
          <w:bCs/>
          <w:bdr w:val="none" w:sz="0" w:space="0" w:color="auto" w:frame="1"/>
        </w:rPr>
      </w:pPr>
    </w:p>
    <w:p w:rsidR="00414B96" w:rsidRPr="003E3EA6" w:rsidRDefault="00314EF5" w:rsidP="00362A00">
      <w:pPr>
        <w:pStyle w:val="SemEspaamento"/>
        <w:spacing w:line="276" w:lineRule="auto"/>
        <w:ind w:firstLine="1843"/>
        <w:jc w:val="both"/>
        <w:rPr>
          <w:rFonts w:ascii="Tahoma" w:hAnsi="Tahoma" w:cs="Tahoma"/>
        </w:rPr>
      </w:pPr>
      <w:r w:rsidRPr="003E3EA6">
        <w:rPr>
          <w:rStyle w:val="tamanho18"/>
          <w:rFonts w:ascii="Tahoma" w:hAnsi="Tahoma" w:cs="Tahoma"/>
          <w:bCs/>
          <w:bdr w:val="none" w:sz="0" w:space="0" w:color="auto" w:frame="1"/>
        </w:rPr>
        <w:t>Em face ao exposto</w:t>
      </w:r>
      <w:r w:rsidR="00C30900" w:rsidRPr="003E3EA6">
        <w:rPr>
          <w:rFonts w:ascii="Tahoma" w:hAnsi="Tahoma" w:cs="Tahoma"/>
        </w:rPr>
        <w:t>,</w:t>
      </w:r>
      <w:r w:rsidRPr="003E3EA6">
        <w:rPr>
          <w:rFonts w:ascii="Tahoma" w:hAnsi="Tahoma" w:cs="Tahoma"/>
        </w:rPr>
        <w:t xml:space="preserve"> r</w:t>
      </w:r>
      <w:r w:rsidR="00244BC8" w:rsidRPr="003E3EA6">
        <w:rPr>
          <w:rFonts w:ascii="Tahoma" w:hAnsi="Tahoma" w:cs="Tahoma"/>
        </w:rPr>
        <w:t xml:space="preserve">ealizada uma análise dos documentos, edital, minuta do contrato e anexos, restrito aos aspectos jurídicos e formais, sem adentrar ao mérito, </w:t>
      </w:r>
      <w:r w:rsidR="00414B96" w:rsidRPr="003E3EA6">
        <w:rPr>
          <w:rFonts w:ascii="Tahoma" w:hAnsi="Tahoma" w:cs="Tahoma"/>
          <w:b/>
        </w:rPr>
        <w:t xml:space="preserve">não se </w:t>
      </w:r>
      <w:r w:rsidR="00414B96" w:rsidRPr="003E3EA6">
        <w:rPr>
          <w:rFonts w:ascii="Tahoma" w:hAnsi="Tahoma" w:cs="Tahoma"/>
          <w:b/>
        </w:rPr>
        <w:lastRenderedPageBreak/>
        <w:t>constatou irregularidades ou ilegalidades</w:t>
      </w:r>
      <w:r w:rsidR="00414B96" w:rsidRPr="003E3EA6">
        <w:rPr>
          <w:rFonts w:ascii="Tahoma" w:hAnsi="Tahoma" w:cs="Tahoma"/>
        </w:rPr>
        <w:t xml:space="preserve">, sendo cumprido o que determina o “caput” e parágrafo único do artigo 38 da Lei 8.666/93 e suas alterações posteriores. </w:t>
      </w:r>
    </w:p>
    <w:p w:rsidR="006C6186" w:rsidRPr="003E3EA6" w:rsidRDefault="006C6186" w:rsidP="00362A00">
      <w:pPr>
        <w:pStyle w:val="SemEspaamento"/>
        <w:spacing w:line="276" w:lineRule="auto"/>
        <w:ind w:firstLine="1843"/>
        <w:jc w:val="both"/>
        <w:rPr>
          <w:rFonts w:ascii="Tahoma" w:hAnsi="Tahoma" w:cs="Tahoma"/>
        </w:rPr>
      </w:pPr>
    </w:p>
    <w:p w:rsidR="00E63A5F" w:rsidRPr="003E3EA6" w:rsidRDefault="00414B96" w:rsidP="00362A00">
      <w:pPr>
        <w:pStyle w:val="SemEspaamento"/>
        <w:spacing w:line="276" w:lineRule="auto"/>
        <w:ind w:firstLine="1843"/>
        <w:jc w:val="both"/>
        <w:rPr>
          <w:rFonts w:ascii="Tahoma" w:hAnsi="Tahoma" w:cs="Tahoma"/>
        </w:rPr>
      </w:pPr>
      <w:r w:rsidRPr="003E3EA6">
        <w:rPr>
          <w:rFonts w:ascii="Tahoma" w:hAnsi="Tahoma" w:cs="Tahoma"/>
        </w:rPr>
        <w:t xml:space="preserve">Assim, </w:t>
      </w:r>
      <w:r w:rsidR="00E63A5F" w:rsidRPr="003E3EA6">
        <w:rPr>
          <w:rFonts w:ascii="Tahoma" w:hAnsi="Tahoma" w:cs="Tahoma"/>
        </w:rPr>
        <w:t xml:space="preserve">opina-se </w:t>
      </w:r>
      <w:r w:rsidR="00E63A5F" w:rsidRPr="003E3EA6">
        <w:rPr>
          <w:rFonts w:ascii="Tahoma" w:hAnsi="Tahoma" w:cs="Tahoma"/>
          <w:b/>
        </w:rPr>
        <w:t>FAVORAVELMENTE</w:t>
      </w:r>
      <w:r w:rsidR="00E63A5F" w:rsidRPr="003E3EA6">
        <w:rPr>
          <w:rFonts w:ascii="Tahoma" w:hAnsi="Tahoma" w:cs="Tahoma"/>
        </w:rPr>
        <w:t xml:space="preserve"> pela abertura do presente certame com a finalidade de </w:t>
      </w:r>
      <w:r w:rsidR="00502907" w:rsidRPr="003E3EA6">
        <w:rPr>
          <w:rFonts w:ascii="Tahoma" w:hAnsi="Tahoma" w:cs="Tahoma"/>
        </w:rPr>
        <w:t xml:space="preserve">contratação de empresa especializada para a </w:t>
      </w:r>
      <w:r w:rsidR="00502907" w:rsidRPr="003E3EA6">
        <w:rPr>
          <w:rFonts w:ascii="Tahoma" w:hAnsi="Tahoma" w:cs="Tahoma"/>
          <w:b/>
        </w:rPr>
        <w:t>prestação de serviços de assessoria e consultoria jurídica com presença física de no mínimo 08 (oito) dias uteis por mês</w:t>
      </w:r>
      <w:r w:rsidR="00502907" w:rsidRPr="003E3EA6">
        <w:rPr>
          <w:rFonts w:ascii="Tahoma" w:hAnsi="Tahoma" w:cs="Tahoma"/>
        </w:rPr>
        <w:t>, para atender as necessidades da Câmara Municipal de Nova Nazaré-MT</w:t>
      </w:r>
      <w:r w:rsidR="001D4BA2" w:rsidRPr="003E3EA6">
        <w:rPr>
          <w:rFonts w:ascii="Tahoma" w:hAnsi="Tahoma" w:cs="Tahoma"/>
          <w:b/>
          <w:bCs/>
          <w:iCs/>
        </w:rPr>
        <w:t>,</w:t>
      </w:r>
      <w:r w:rsidR="00E63A5F" w:rsidRPr="003E3EA6">
        <w:rPr>
          <w:rFonts w:ascii="Tahoma" w:hAnsi="Tahoma" w:cs="Tahoma"/>
        </w:rPr>
        <w:t xml:space="preserve"> e pelo seu normal prosseguimento até ulteriores termos.</w:t>
      </w:r>
    </w:p>
    <w:p w:rsidR="006C6186" w:rsidRPr="003E3EA6" w:rsidRDefault="006C6186" w:rsidP="00362A00">
      <w:pPr>
        <w:pStyle w:val="SemEspaamento"/>
        <w:spacing w:line="276" w:lineRule="auto"/>
        <w:ind w:firstLine="1843"/>
        <w:jc w:val="both"/>
        <w:rPr>
          <w:rFonts w:ascii="Tahoma" w:hAnsi="Tahoma" w:cs="Tahoma"/>
        </w:rPr>
      </w:pPr>
    </w:p>
    <w:p w:rsidR="00244BC8" w:rsidRPr="003E3EA6" w:rsidRDefault="00244BC8" w:rsidP="00362A00">
      <w:pPr>
        <w:pStyle w:val="SemEspaamento"/>
        <w:spacing w:line="276" w:lineRule="auto"/>
        <w:ind w:firstLine="1843"/>
        <w:jc w:val="both"/>
        <w:rPr>
          <w:rStyle w:val="tamanho18"/>
          <w:rFonts w:ascii="Tahoma" w:hAnsi="Tahoma" w:cs="Tahoma"/>
          <w:bCs/>
          <w:bdr w:val="none" w:sz="0" w:space="0" w:color="auto" w:frame="1"/>
        </w:rPr>
      </w:pPr>
      <w:r w:rsidRPr="003E3EA6">
        <w:rPr>
          <w:rStyle w:val="tamanho18"/>
          <w:rFonts w:ascii="Tahoma" w:hAnsi="Tahoma" w:cs="Tahoma"/>
          <w:bCs/>
          <w:bdr w:val="none" w:sz="0" w:space="0" w:color="auto" w:frame="1"/>
        </w:rPr>
        <w:t>É o parecer, salvo melhor juízo.</w:t>
      </w:r>
    </w:p>
    <w:p w:rsidR="006C6186" w:rsidRPr="003E3EA6" w:rsidRDefault="006C6186" w:rsidP="00362A00">
      <w:pPr>
        <w:pStyle w:val="SemEspaamento"/>
        <w:spacing w:line="276" w:lineRule="auto"/>
        <w:rPr>
          <w:rStyle w:val="tamanho18"/>
          <w:rFonts w:ascii="Tahoma" w:hAnsi="Tahoma" w:cs="Tahoma"/>
          <w:bCs/>
          <w:bdr w:val="none" w:sz="0" w:space="0" w:color="auto" w:frame="1"/>
        </w:rPr>
      </w:pPr>
    </w:p>
    <w:p w:rsidR="00244BC8" w:rsidRPr="003E3EA6" w:rsidRDefault="006C6186" w:rsidP="00362A00">
      <w:pPr>
        <w:spacing w:after="120"/>
        <w:jc w:val="center"/>
        <w:rPr>
          <w:rStyle w:val="tamanho18"/>
          <w:rFonts w:ascii="Tahoma" w:hAnsi="Tahoma" w:cs="Tahoma"/>
          <w:bCs/>
          <w:bdr w:val="none" w:sz="0" w:space="0" w:color="auto" w:frame="1"/>
        </w:rPr>
      </w:pPr>
      <w:r w:rsidRPr="003E3EA6">
        <w:rPr>
          <w:rStyle w:val="tamanho18"/>
          <w:rFonts w:ascii="Tahoma" w:hAnsi="Tahoma" w:cs="Tahoma"/>
          <w:bCs/>
          <w:bdr w:val="none" w:sz="0" w:space="0" w:color="auto" w:frame="1"/>
        </w:rPr>
        <w:t>Nova Nazaré</w:t>
      </w:r>
      <w:r w:rsidR="00173E05" w:rsidRPr="003E3EA6">
        <w:rPr>
          <w:rStyle w:val="tamanho18"/>
          <w:rFonts w:ascii="Tahoma" w:hAnsi="Tahoma" w:cs="Tahoma"/>
          <w:bCs/>
          <w:bdr w:val="none" w:sz="0" w:space="0" w:color="auto" w:frame="1"/>
        </w:rPr>
        <w:t xml:space="preserve">/MT, </w:t>
      </w:r>
      <w:r w:rsidR="004763A3" w:rsidRPr="003E3EA6">
        <w:rPr>
          <w:rStyle w:val="tamanho18"/>
          <w:rFonts w:ascii="Tahoma" w:hAnsi="Tahoma" w:cs="Tahoma"/>
          <w:bCs/>
          <w:bdr w:val="none" w:sz="0" w:space="0" w:color="auto" w:frame="1"/>
        </w:rPr>
        <w:t>30</w:t>
      </w:r>
      <w:r w:rsidR="00244BC8" w:rsidRPr="003E3EA6">
        <w:rPr>
          <w:rStyle w:val="tamanho18"/>
          <w:rFonts w:ascii="Tahoma" w:hAnsi="Tahoma" w:cs="Tahoma"/>
          <w:bCs/>
          <w:bdr w:val="none" w:sz="0" w:space="0" w:color="auto" w:frame="1"/>
        </w:rPr>
        <w:t xml:space="preserve"> de </w:t>
      </w:r>
      <w:proofErr w:type="gramStart"/>
      <w:r w:rsidR="004763A3" w:rsidRPr="003E3EA6">
        <w:rPr>
          <w:rStyle w:val="tamanho18"/>
          <w:rFonts w:ascii="Tahoma" w:hAnsi="Tahoma" w:cs="Tahoma"/>
          <w:bCs/>
          <w:bdr w:val="none" w:sz="0" w:space="0" w:color="auto" w:frame="1"/>
        </w:rPr>
        <w:t>Julh</w:t>
      </w:r>
      <w:r w:rsidR="00E92BC8" w:rsidRPr="003E3EA6">
        <w:rPr>
          <w:rStyle w:val="tamanho18"/>
          <w:rFonts w:ascii="Tahoma" w:hAnsi="Tahoma" w:cs="Tahoma"/>
          <w:bCs/>
          <w:bdr w:val="none" w:sz="0" w:space="0" w:color="auto" w:frame="1"/>
        </w:rPr>
        <w:t>o</w:t>
      </w:r>
      <w:proofErr w:type="gramEnd"/>
      <w:r w:rsidR="00E92BC8" w:rsidRPr="003E3EA6">
        <w:rPr>
          <w:rStyle w:val="tamanho18"/>
          <w:rFonts w:ascii="Tahoma" w:hAnsi="Tahoma" w:cs="Tahoma"/>
          <w:bCs/>
          <w:bdr w:val="none" w:sz="0" w:space="0" w:color="auto" w:frame="1"/>
        </w:rPr>
        <w:t xml:space="preserve"> </w:t>
      </w:r>
      <w:r w:rsidR="00244BC8" w:rsidRPr="003E3EA6">
        <w:rPr>
          <w:rStyle w:val="tamanho18"/>
          <w:rFonts w:ascii="Tahoma" w:hAnsi="Tahoma" w:cs="Tahoma"/>
          <w:bCs/>
          <w:bdr w:val="none" w:sz="0" w:space="0" w:color="auto" w:frame="1"/>
        </w:rPr>
        <w:t>de</w:t>
      </w:r>
      <w:r w:rsidR="00874C36" w:rsidRPr="003E3EA6">
        <w:rPr>
          <w:rStyle w:val="tamanho18"/>
          <w:rFonts w:ascii="Tahoma" w:hAnsi="Tahoma" w:cs="Tahoma"/>
          <w:bCs/>
          <w:bdr w:val="none" w:sz="0" w:space="0" w:color="auto" w:frame="1"/>
        </w:rPr>
        <w:t xml:space="preserve"> 201</w:t>
      </w:r>
      <w:r w:rsidR="004763A3" w:rsidRPr="003E3EA6">
        <w:rPr>
          <w:rStyle w:val="tamanho18"/>
          <w:rFonts w:ascii="Tahoma" w:hAnsi="Tahoma" w:cs="Tahoma"/>
          <w:bCs/>
          <w:bdr w:val="none" w:sz="0" w:space="0" w:color="auto" w:frame="1"/>
        </w:rPr>
        <w:t>9.</w:t>
      </w:r>
    </w:p>
    <w:p w:rsidR="00244BC8" w:rsidRPr="003E3EA6" w:rsidRDefault="00244BC8" w:rsidP="00362A00">
      <w:pPr>
        <w:jc w:val="center"/>
        <w:rPr>
          <w:rStyle w:val="tamanho18"/>
          <w:rFonts w:ascii="Tahoma" w:hAnsi="Tahoma" w:cs="Tahoma"/>
          <w:bCs/>
          <w:bdr w:val="none" w:sz="0" w:space="0" w:color="auto" w:frame="1"/>
        </w:rPr>
      </w:pPr>
    </w:p>
    <w:p w:rsidR="00E63A5F" w:rsidRPr="003E3EA6" w:rsidRDefault="00E63A5F" w:rsidP="00362A00">
      <w:pPr>
        <w:jc w:val="center"/>
        <w:rPr>
          <w:rStyle w:val="tamanho18"/>
          <w:rFonts w:ascii="Tahoma" w:hAnsi="Tahoma" w:cs="Tahoma"/>
          <w:bCs/>
          <w:bdr w:val="none" w:sz="0" w:space="0" w:color="auto" w:frame="1"/>
        </w:rPr>
      </w:pPr>
    </w:p>
    <w:p w:rsidR="00244BC8" w:rsidRPr="003E3EA6" w:rsidRDefault="006C6186" w:rsidP="00362A00">
      <w:pPr>
        <w:spacing w:after="0"/>
        <w:jc w:val="center"/>
        <w:rPr>
          <w:rStyle w:val="tamanho18"/>
          <w:rFonts w:ascii="Tahoma" w:hAnsi="Tahoma" w:cs="Tahoma"/>
          <w:b/>
          <w:bCs/>
          <w:bdr w:val="none" w:sz="0" w:space="0" w:color="auto" w:frame="1"/>
        </w:rPr>
      </w:pPr>
      <w:r w:rsidRPr="003E3EA6">
        <w:rPr>
          <w:rStyle w:val="tamanho18"/>
          <w:rFonts w:ascii="Tahoma" w:hAnsi="Tahoma" w:cs="Tahoma"/>
          <w:b/>
          <w:bCs/>
          <w:bdr w:val="none" w:sz="0" w:space="0" w:color="auto" w:frame="1"/>
        </w:rPr>
        <w:t>RODRIGO DE OLIVEIRA RAMOS</w:t>
      </w:r>
    </w:p>
    <w:p w:rsidR="00244BC8" w:rsidRPr="003E3EA6" w:rsidRDefault="00244BC8" w:rsidP="00362A00">
      <w:pPr>
        <w:spacing w:after="0"/>
        <w:jc w:val="center"/>
        <w:rPr>
          <w:rFonts w:ascii="Tahoma" w:hAnsi="Tahoma" w:cs="Tahoma"/>
        </w:rPr>
      </w:pPr>
      <w:r w:rsidRPr="003E3EA6">
        <w:rPr>
          <w:rStyle w:val="tamanho18"/>
          <w:rFonts w:ascii="Tahoma" w:hAnsi="Tahoma" w:cs="Tahoma"/>
          <w:bCs/>
          <w:bdr w:val="none" w:sz="0" w:space="0" w:color="auto" w:frame="1"/>
        </w:rPr>
        <w:t xml:space="preserve">Procurador </w:t>
      </w:r>
      <w:proofErr w:type="gramStart"/>
      <w:r w:rsidRPr="003E3EA6">
        <w:rPr>
          <w:rStyle w:val="tamanho18"/>
          <w:rFonts w:ascii="Tahoma" w:hAnsi="Tahoma" w:cs="Tahoma"/>
          <w:bCs/>
          <w:bdr w:val="none" w:sz="0" w:space="0" w:color="auto" w:frame="1"/>
        </w:rPr>
        <w:t>Jurídico  -</w:t>
      </w:r>
      <w:proofErr w:type="gramEnd"/>
      <w:r w:rsidRPr="003E3EA6">
        <w:rPr>
          <w:rStyle w:val="tamanho18"/>
          <w:rFonts w:ascii="Tahoma" w:hAnsi="Tahoma" w:cs="Tahoma"/>
          <w:bCs/>
          <w:bdr w:val="none" w:sz="0" w:space="0" w:color="auto" w:frame="1"/>
        </w:rPr>
        <w:t xml:space="preserve"> OAB</w:t>
      </w:r>
      <w:r w:rsidR="006C6186" w:rsidRPr="003E3EA6">
        <w:rPr>
          <w:rStyle w:val="tamanho18"/>
          <w:rFonts w:ascii="Tahoma" w:hAnsi="Tahoma" w:cs="Tahoma"/>
          <w:bCs/>
          <w:bdr w:val="none" w:sz="0" w:space="0" w:color="auto" w:frame="1"/>
        </w:rPr>
        <w:t>-A</w:t>
      </w:r>
      <w:r w:rsidRPr="003E3EA6">
        <w:rPr>
          <w:rStyle w:val="tamanho18"/>
          <w:rFonts w:ascii="Tahoma" w:hAnsi="Tahoma" w:cs="Tahoma"/>
          <w:bCs/>
          <w:bdr w:val="none" w:sz="0" w:space="0" w:color="auto" w:frame="1"/>
        </w:rPr>
        <w:t xml:space="preserve">/MT </w:t>
      </w:r>
      <w:r w:rsidR="006C6186" w:rsidRPr="003E3EA6">
        <w:rPr>
          <w:rStyle w:val="tamanho18"/>
          <w:rFonts w:ascii="Tahoma" w:hAnsi="Tahoma" w:cs="Tahoma"/>
          <w:bCs/>
          <w:bdr w:val="none" w:sz="0" w:space="0" w:color="auto" w:frame="1"/>
        </w:rPr>
        <w:t>20.299</w:t>
      </w:r>
    </w:p>
    <w:p w:rsidR="00EF7A3A" w:rsidRPr="003E3EA6" w:rsidRDefault="00EF7A3A"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502907" w:rsidRPr="003E3EA6" w:rsidRDefault="00502907" w:rsidP="00362A00">
      <w:pPr>
        <w:pStyle w:val="Cabealho"/>
        <w:spacing w:line="276" w:lineRule="auto"/>
        <w:rPr>
          <w:rFonts w:ascii="Tahoma" w:hAnsi="Tahoma" w:cs="Tahoma"/>
          <w:sz w:val="23"/>
          <w:szCs w:val="23"/>
        </w:rPr>
      </w:pPr>
    </w:p>
    <w:p w:rsidR="00502907" w:rsidRPr="003E3EA6" w:rsidRDefault="00502907" w:rsidP="00362A00">
      <w:pPr>
        <w:pStyle w:val="Cabealho"/>
        <w:spacing w:line="276" w:lineRule="auto"/>
        <w:rPr>
          <w:rFonts w:ascii="Tahoma" w:hAnsi="Tahoma" w:cs="Tahoma"/>
          <w:sz w:val="23"/>
          <w:szCs w:val="23"/>
        </w:rPr>
      </w:pPr>
    </w:p>
    <w:p w:rsidR="00502907" w:rsidRPr="003E3EA6" w:rsidRDefault="00502907" w:rsidP="00362A00">
      <w:pPr>
        <w:pStyle w:val="Cabealho"/>
        <w:spacing w:line="276" w:lineRule="auto"/>
        <w:rPr>
          <w:rFonts w:ascii="Tahoma" w:hAnsi="Tahoma" w:cs="Tahoma"/>
          <w:sz w:val="23"/>
          <w:szCs w:val="23"/>
        </w:rPr>
      </w:pPr>
    </w:p>
    <w:p w:rsidR="00502907" w:rsidRPr="003E3EA6" w:rsidRDefault="00502907" w:rsidP="00362A00">
      <w:pPr>
        <w:pStyle w:val="Cabealho"/>
        <w:spacing w:line="276" w:lineRule="auto"/>
        <w:rPr>
          <w:rFonts w:ascii="Tahoma" w:hAnsi="Tahoma" w:cs="Tahoma"/>
          <w:sz w:val="23"/>
          <w:szCs w:val="23"/>
        </w:rPr>
      </w:pPr>
    </w:p>
    <w:p w:rsidR="00502907" w:rsidRPr="003E3EA6" w:rsidRDefault="00502907" w:rsidP="00362A00">
      <w:pPr>
        <w:pStyle w:val="Cabealho"/>
        <w:spacing w:line="276" w:lineRule="auto"/>
        <w:rPr>
          <w:rFonts w:ascii="Tahoma" w:hAnsi="Tahoma" w:cs="Tahoma"/>
          <w:sz w:val="23"/>
          <w:szCs w:val="23"/>
        </w:rPr>
      </w:pPr>
    </w:p>
    <w:p w:rsidR="00502907" w:rsidRPr="003E3EA6" w:rsidRDefault="00502907" w:rsidP="00362A00">
      <w:pPr>
        <w:pStyle w:val="Cabealho"/>
        <w:spacing w:line="276" w:lineRule="auto"/>
        <w:rPr>
          <w:rFonts w:ascii="Tahoma" w:hAnsi="Tahoma" w:cs="Tahoma"/>
          <w:sz w:val="23"/>
          <w:szCs w:val="23"/>
        </w:rPr>
      </w:pPr>
    </w:p>
    <w:p w:rsidR="00502907" w:rsidRPr="003E3EA6" w:rsidRDefault="00502907" w:rsidP="00362A00">
      <w:pPr>
        <w:pStyle w:val="Cabealho"/>
        <w:spacing w:line="276" w:lineRule="auto"/>
        <w:rPr>
          <w:rFonts w:ascii="Tahoma" w:hAnsi="Tahoma" w:cs="Tahoma"/>
          <w:sz w:val="23"/>
          <w:szCs w:val="23"/>
        </w:rPr>
      </w:pPr>
    </w:p>
    <w:p w:rsidR="00502907" w:rsidRPr="003E3EA6" w:rsidRDefault="00502907" w:rsidP="00362A00">
      <w:pPr>
        <w:pStyle w:val="Cabealho"/>
        <w:spacing w:line="276" w:lineRule="auto"/>
        <w:rPr>
          <w:rFonts w:ascii="Tahoma" w:hAnsi="Tahoma" w:cs="Tahoma"/>
          <w:sz w:val="23"/>
          <w:szCs w:val="23"/>
        </w:rPr>
      </w:pPr>
    </w:p>
    <w:p w:rsidR="00502907" w:rsidRPr="003E3EA6" w:rsidRDefault="00502907" w:rsidP="00362A00">
      <w:pPr>
        <w:pStyle w:val="Cabealho"/>
        <w:spacing w:line="276" w:lineRule="auto"/>
        <w:rPr>
          <w:rFonts w:ascii="Tahoma" w:hAnsi="Tahoma" w:cs="Tahoma"/>
          <w:sz w:val="23"/>
          <w:szCs w:val="23"/>
        </w:rPr>
      </w:pPr>
    </w:p>
    <w:p w:rsidR="00502907" w:rsidRPr="003E3EA6" w:rsidRDefault="00502907" w:rsidP="00362A00">
      <w:pPr>
        <w:pStyle w:val="Cabealho"/>
        <w:spacing w:line="276" w:lineRule="auto"/>
        <w:rPr>
          <w:rFonts w:ascii="Tahoma" w:hAnsi="Tahoma" w:cs="Tahoma"/>
          <w:sz w:val="23"/>
          <w:szCs w:val="23"/>
        </w:rPr>
      </w:pPr>
    </w:p>
    <w:p w:rsidR="00502907" w:rsidRPr="003E3EA6" w:rsidRDefault="00502907" w:rsidP="00362A00">
      <w:pPr>
        <w:pStyle w:val="Cabealho"/>
        <w:spacing w:line="276" w:lineRule="auto"/>
        <w:rPr>
          <w:rFonts w:ascii="Tahoma" w:hAnsi="Tahoma" w:cs="Tahoma"/>
          <w:sz w:val="23"/>
          <w:szCs w:val="23"/>
        </w:rPr>
      </w:pPr>
    </w:p>
    <w:p w:rsidR="00502907" w:rsidRPr="003E3EA6" w:rsidRDefault="00502907" w:rsidP="00362A00">
      <w:pPr>
        <w:pStyle w:val="Cabealho"/>
        <w:spacing w:line="276" w:lineRule="auto"/>
        <w:rPr>
          <w:rFonts w:ascii="Tahoma" w:hAnsi="Tahoma" w:cs="Tahoma"/>
          <w:sz w:val="23"/>
          <w:szCs w:val="23"/>
        </w:rPr>
      </w:pPr>
    </w:p>
    <w:p w:rsidR="00502907" w:rsidRPr="003E3EA6" w:rsidRDefault="00502907" w:rsidP="00362A00">
      <w:pPr>
        <w:pStyle w:val="Cabealho"/>
        <w:spacing w:line="276" w:lineRule="auto"/>
        <w:rPr>
          <w:rFonts w:ascii="Tahoma" w:hAnsi="Tahoma" w:cs="Tahoma"/>
          <w:sz w:val="23"/>
          <w:szCs w:val="23"/>
        </w:rPr>
      </w:pPr>
    </w:p>
    <w:p w:rsidR="00502907" w:rsidRPr="003E3EA6" w:rsidRDefault="00502907" w:rsidP="00362A00">
      <w:pPr>
        <w:pStyle w:val="Cabealho"/>
        <w:spacing w:line="276" w:lineRule="auto"/>
        <w:rPr>
          <w:rFonts w:ascii="Tahoma" w:hAnsi="Tahoma" w:cs="Tahoma"/>
          <w:sz w:val="23"/>
          <w:szCs w:val="23"/>
        </w:rPr>
      </w:pPr>
    </w:p>
    <w:p w:rsidR="00502907" w:rsidRPr="003E3EA6" w:rsidRDefault="00502907"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3"/>
          <w:szCs w:val="23"/>
        </w:rPr>
      </w:pPr>
    </w:p>
    <w:p w:rsidR="00EE0A1C" w:rsidRPr="003E3EA6" w:rsidRDefault="00EE0A1C" w:rsidP="00362A00">
      <w:pPr>
        <w:pStyle w:val="Cabealho"/>
        <w:spacing w:line="276" w:lineRule="auto"/>
        <w:rPr>
          <w:rFonts w:ascii="Tahoma" w:hAnsi="Tahoma" w:cs="Tahoma"/>
          <w:sz w:val="22"/>
          <w:szCs w:val="22"/>
        </w:rPr>
      </w:pPr>
      <w:bookmarkStart w:id="0" w:name="_GoBack"/>
      <w:bookmarkEnd w:id="0"/>
    </w:p>
    <w:sectPr w:rsidR="00EE0A1C" w:rsidRPr="003E3EA6" w:rsidSect="00502907">
      <w:headerReference w:type="default" r:id="rId7"/>
      <w:footerReference w:type="default" r:id="rId8"/>
      <w:pgSz w:w="11906" w:h="16838" w:code="9"/>
      <w:pgMar w:top="1985" w:right="851"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762" w:rsidRDefault="00DF5762" w:rsidP="007D37FD">
      <w:pPr>
        <w:spacing w:after="0" w:line="240" w:lineRule="auto"/>
      </w:pPr>
      <w:r>
        <w:separator/>
      </w:r>
    </w:p>
  </w:endnote>
  <w:endnote w:type="continuationSeparator" w:id="0">
    <w:p w:rsidR="00DF5762" w:rsidRDefault="00DF5762" w:rsidP="007D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8"/>
    <w:family w:val="auto"/>
    <w:notTrueType/>
    <w:pitch w:val="default"/>
    <w:sig w:usb0="00000001" w:usb1="080F0000" w:usb2="00000010" w:usb3="00000000" w:csb0="001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181203"/>
      <w:docPartObj>
        <w:docPartGallery w:val="Page Numbers (Bottom of Page)"/>
        <w:docPartUnique/>
      </w:docPartObj>
    </w:sdtPr>
    <w:sdtEndPr/>
    <w:sdtContent>
      <w:p w:rsidR="00E646C7" w:rsidRDefault="00691BB2">
        <w:pPr>
          <w:pStyle w:val="Rodap"/>
          <w:jc w:val="right"/>
        </w:pPr>
        <w:r>
          <w:fldChar w:fldCharType="begin"/>
        </w:r>
        <w:r>
          <w:instrText xml:space="preserve"> PAGE   \* MERGEFORMAT </w:instrText>
        </w:r>
        <w:r>
          <w:fldChar w:fldCharType="separate"/>
        </w:r>
        <w:r w:rsidR="007D162C">
          <w:rPr>
            <w:noProof/>
          </w:rPr>
          <w:t>5</w:t>
        </w:r>
        <w:r>
          <w:rPr>
            <w:noProof/>
          </w:rPr>
          <w:fldChar w:fldCharType="end"/>
        </w:r>
      </w:p>
    </w:sdtContent>
  </w:sdt>
  <w:p w:rsidR="00E646C7" w:rsidRDefault="00E646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762" w:rsidRDefault="00DF5762" w:rsidP="007D37FD">
      <w:pPr>
        <w:spacing w:after="0" w:line="240" w:lineRule="auto"/>
      </w:pPr>
      <w:r>
        <w:separator/>
      </w:r>
    </w:p>
  </w:footnote>
  <w:footnote w:type="continuationSeparator" w:id="0">
    <w:p w:rsidR="00DF5762" w:rsidRDefault="00DF5762" w:rsidP="007D3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A5" w:rsidRDefault="00A904A5" w:rsidP="00A904A5">
    <w:pPr>
      <w:pStyle w:val="Cabealho"/>
    </w:pPr>
    <w:r>
      <w:rPr>
        <w:noProof/>
      </w:rPr>
      <mc:AlternateContent>
        <mc:Choice Requires="wps">
          <w:drawing>
            <wp:anchor distT="45720" distB="45720" distL="114300" distR="114300" simplePos="0" relativeHeight="251659264" behindDoc="0" locked="0" layoutInCell="1" allowOverlap="1">
              <wp:simplePos x="0" y="0"/>
              <wp:positionH relativeFrom="column">
                <wp:posOffset>3170555</wp:posOffset>
              </wp:positionH>
              <wp:positionV relativeFrom="paragraph">
                <wp:posOffset>122555</wp:posOffset>
              </wp:positionV>
              <wp:extent cx="2694940" cy="548640"/>
              <wp:effectExtent l="0" t="0" r="0" b="3810"/>
              <wp:wrapSquare wrapText="bothSides"/>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548640"/>
                      </a:xfrm>
                      <a:prstGeom prst="rect">
                        <a:avLst/>
                      </a:prstGeom>
                      <a:solidFill>
                        <a:srgbClr val="FFFFFF"/>
                      </a:solidFill>
                      <a:ln w="9525">
                        <a:noFill/>
                        <a:miter lim="800000"/>
                        <a:headEnd/>
                        <a:tailEnd/>
                      </a:ln>
                    </wps:spPr>
                    <wps:txbx>
                      <w:txbxContent>
                        <w:p w:rsidR="00A904A5" w:rsidRPr="00643F02" w:rsidRDefault="00A904A5" w:rsidP="00A904A5">
                          <w:pPr>
                            <w:pStyle w:val="SemEspaamento"/>
                            <w:jc w:val="center"/>
                            <w:rPr>
                              <w:rFonts w:ascii="Tahoma" w:hAnsi="Tahoma" w:cs="Tahoma"/>
                            </w:rPr>
                          </w:pPr>
                          <w:r w:rsidRPr="00643F02">
                            <w:rPr>
                              <w:rFonts w:ascii="Tahoma" w:hAnsi="Tahoma" w:cs="Tahoma"/>
                            </w:rPr>
                            <w:t xml:space="preserve">Rua Frei Arthur </w:t>
                          </w:r>
                          <w:proofErr w:type="spellStart"/>
                          <w:r w:rsidRPr="00643F02">
                            <w:rPr>
                              <w:rFonts w:ascii="Tahoma" w:hAnsi="Tahoma" w:cs="Tahoma"/>
                            </w:rPr>
                            <w:t>Ag</w:t>
                          </w:r>
                          <w:r>
                            <w:rPr>
                              <w:rFonts w:ascii="Tahoma" w:hAnsi="Tahoma" w:cs="Tahoma"/>
                            </w:rPr>
                            <w:t>u</w:t>
                          </w:r>
                          <w:r w:rsidRPr="00643F02">
                            <w:rPr>
                              <w:rFonts w:ascii="Tahoma" w:hAnsi="Tahoma" w:cs="Tahoma"/>
                            </w:rPr>
                            <w:t>stini</w:t>
                          </w:r>
                          <w:proofErr w:type="spellEnd"/>
                          <w:r w:rsidRPr="00643F02">
                            <w:rPr>
                              <w:rFonts w:ascii="Tahoma" w:hAnsi="Tahoma" w:cs="Tahoma"/>
                            </w:rPr>
                            <w:t xml:space="preserve"> s/n – Centro</w:t>
                          </w:r>
                        </w:p>
                        <w:p w:rsidR="00A904A5" w:rsidRPr="00643F02" w:rsidRDefault="00A904A5" w:rsidP="00A904A5">
                          <w:pPr>
                            <w:pStyle w:val="SemEspaamento"/>
                            <w:jc w:val="center"/>
                            <w:rPr>
                              <w:rFonts w:ascii="Tahoma" w:hAnsi="Tahoma" w:cs="Tahoma"/>
                            </w:rPr>
                          </w:pPr>
                          <w:r w:rsidRPr="00643F02">
                            <w:rPr>
                              <w:rFonts w:ascii="Tahoma" w:hAnsi="Tahoma" w:cs="Tahoma"/>
                            </w:rPr>
                            <w:t>Nova Nazaré-MT – Fone (66) 3467-1152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17" o:spid="_x0000_s1026" type="#_x0000_t202" style="position:absolute;margin-left:249.65pt;margin-top:9.65pt;width:212.2pt;height:4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" stroked="f">
              <v:textbox>
                <w:txbxContent>
                  <w:p w:rsidR="00A904A5" w:rsidRPr="00643F02" w:rsidRDefault="00A904A5" w:rsidP="00A904A5">
                    <w:pPr>
                      <w:pStyle w:val="SemEspaamento"/>
                      <w:jc w:val="center"/>
                      <w:rPr>
                        <w:rFonts w:ascii="Tahoma" w:hAnsi="Tahoma" w:cs="Tahoma"/>
                      </w:rPr>
                    </w:pPr>
                    <w:r w:rsidRPr="00643F02">
                      <w:rPr>
                        <w:rFonts w:ascii="Tahoma" w:hAnsi="Tahoma" w:cs="Tahoma"/>
                      </w:rPr>
                      <w:t>Rua Frei Arthur Ag</w:t>
                    </w:r>
                    <w:r>
                      <w:rPr>
                        <w:rFonts w:ascii="Tahoma" w:hAnsi="Tahoma" w:cs="Tahoma"/>
                      </w:rPr>
                      <w:t>u</w:t>
                    </w:r>
                    <w:r w:rsidRPr="00643F02">
                      <w:rPr>
                        <w:rFonts w:ascii="Tahoma" w:hAnsi="Tahoma" w:cs="Tahoma"/>
                      </w:rPr>
                      <w:t>stini s/n – Centro</w:t>
                    </w:r>
                  </w:p>
                  <w:p w:rsidR="00A904A5" w:rsidRPr="00643F02" w:rsidRDefault="00A904A5" w:rsidP="00A904A5">
                    <w:pPr>
                      <w:pStyle w:val="SemEspaamento"/>
                      <w:jc w:val="center"/>
                      <w:rPr>
                        <w:rFonts w:ascii="Tahoma" w:hAnsi="Tahoma" w:cs="Tahoma"/>
                      </w:rPr>
                    </w:pPr>
                    <w:r w:rsidRPr="00643F02">
                      <w:rPr>
                        <w:rFonts w:ascii="Tahoma" w:hAnsi="Tahoma" w:cs="Tahoma"/>
                      </w:rPr>
                      <w:t>Nova Nazaré-MT – Fone (66) 3467-1152</w:t>
                    </w:r>
                  </w:p>
                </w:txbxContent>
              </v:textbox>
              <w10:wrap type="square"/>
            </v:shape>
          </w:pict>
        </mc:Fallback>
      </mc:AlternateContent>
    </w:r>
    <w:r w:rsidRPr="008D1B7B">
      <w:rPr>
        <w:noProof/>
      </w:rPr>
      <w:drawing>
        <wp:inline distT="0" distB="0" distL="0" distR="0">
          <wp:extent cx="2584450" cy="763270"/>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763270"/>
                  </a:xfrm>
                  <a:prstGeom prst="rect">
                    <a:avLst/>
                  </a:prstGeom>
                  <a:noFill/>
                  <a:ln>
                    <a:noFill/>
                  </a:ln>
                </pic:spPr>
              </pic:pic>
            </a:graphicData>
          </a:graphic>
        </wp:inline>
      </w:drawing>
    </w:r>
  </w:p>
  <w:p w:rsidR="003521CB" w:rsidRPr="00A904A5" w:rsidRDefault="003521CB" w:rsidP="00A904A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2D"/>
    <w:rsid w:val="000010F8"/>
    <w:rsid w:val="000027E6"/>
    <w:rsid w:val="00004574"/>
    <w:rsid w:val="00004ECD"/>
    <w:rsid w:val="000065CE"/>
    <w:rsid w:val="000069B0"/>
    <w:rsid w:val="00007C5F"/>
    <w:rsid w:val="000109EA"/>
    <w:rsid w:val="00012D3C"/>
    <w:rsid w:val="00017DD7"/>
    <w:rsid w:val="000229C0"/>
    <w:rsid w:val="00023473"/>
    <w:rsid w:val="00023F20"/>
    <w:rsid w:val="000241EE"/>
    <w:rsid w:val="000247CB"/>
    <w:rsid w:val="00030657"/>
    <w:rsid w:val="000334DE"/>
    <w:rsid w:val="000343B1"/>
    <w:rsid w:val="0003565E"/>
    <w:rsid w:val="00042E2E"/>
    <w:rsid w:val="00043226"/>
    <w:rsid w:val="000529D1"/>
    <w:rsid w:val="0005349A"/>
    <w:rsid w:val="00057ACA"/>
    <w:rsid w:val="000622CB"/>
    <w:rsid w:val="00064898"/>
    <w:rsid w:val="000664D3"/>
    <w:rsid w:val="00066E97"/>
    <w:rsid w:val="000702B4"/>
    <w:rsid w:val="00080245"/>
    <w:rsid w:val="000845E6"/>
    <w:rsid w:val="000861A7"/>
    <w:rsid w:val="00086F2E"/>
    <w:rsid w:val="0008799E"/>
    <w:rsid w:val="00090C5D"/>
    <w:rsid w:val="00091169"/>
    <w:rsid w:val="0009316C"/>
    <w:rsid w:val="00093B1F"/>
    <w:rsid w:val="000971A3"/>
    <w:rsid w:val="000A3241"/>
    <w:rsid w:val="000A36DF"/>
    <w:rsid w:val="000A6672"/>
    <w:rsid w:val="000A73A6"/>
    <w:rsid w:val="000B687D"/>
    <w:rsid w:val="000B6C58"/>
    <w:rsid w:val="000B73EF"/>
    <w:rsid w:val="000C0622"/>
    <w:rsid w:val="000C4811"/>
    <w:rsid w:val="000D160A"/>
    <w:rsid w:val="000D199C"/>
    <w:rsid w:val="000D3D8B"/>
    <w:rsid w:val="000E0832"/>
    <w:rsid w:val="000E09E1"/>
    <w:rsid w:val="000E2996"/>
    <w:rsid w:val="000E3B92"/>
    <w:rsid w:val="000E628E"/>
    <w:rsid w:val="000F131B"/>
    <w:rsid w:val="000F1E12"/>
    <w:rsid w:val="000F5109"/>
    <w:rsid w:val="00101FE4"/>
    <w:rsid w:val="00102DE7"/>
    <w:rsid w:val="00111380"/>
    <w:rsid w:val="0011536E"/>
    <w:rsid w:val="00117476"/>
    <w:rsid w:val="00121A07"/>
    <w:rsid w:val="0012387B"/>
    <w:rsid w:val="001243B2"/>
    <w:rsid w:val="00132D5E"/>
    <w:rsid w:val="0014608B"/>
    <w:rsid w:val="00150037"/>
    <w:rsid w:val="001529AD"/>
    <w:rsid w:val="00153FF1"/>
    <w:rsid w:val="00154C39"/>
    <w:rsid w:val="0016028F"/>
    <w:rsid w:val="00162FF6"/>
    <w:rsid w:val="0017332D"/>
    <w:rsid w:val="00173E05"/>
    <w:rsid w:val="0018147D"/>
    <w:rsid w:val="0018434A"/>
    <w:rsid w:val="00197916"/>
    <w:rsid w:val="001A0BB3"/>
    <w:rsid w:val="001A21E6"/>
    <w:rsid w:val="001A28A9"/>
    <w:rsid w:val="001B0DCD"/>
    <w:rsid w:val="001B22D9"/>
    <w:rsid w:val="001B698B"/>
    <w:rsid w:val="001C024B"/>
    <w:rsid w:val="001C4482"/>
    <w:rsid w:val="001C7031"/>
    <w:rsid w:val="001D014F"/>
    <w:rsid w:val="001D10A9"/>
    <w:rsid w:val="001D452B"/>
    <w:rsid w:val="001D4940"/>
    <w:rsid w:val="001D4BA2"/>
    <w:rsid w:val="001D5030"/>
    <w:rsid w:val="001D75FB"/>
    <w:rsid w:val="001E0BDC"/>
    <w:rsid w:val="001E2769"/>
    <w:rsid w:val="001E4DD3"/>
    <w:rsid w:val="001F2C03"/>
    <w:rsid w:val="001F6993"/>
    <w:rsid w:val="001F7840"/>
    <w:rsid w:val="00202A59"/>
    <w:rsid w:val="002038E4"/>
    <w:rsid w:val="00207508"/>
    <w:rsid w:val="00210DCF"/>
    <w:rsid w:val="00211BB5"/>
    <w:rsid w:val="00221B94"/>
    <w:rsid w:val="00222442"/>
    <w:rsid w:val="00223DBE"/>
    <w:rsid w:val="00226434"/>
    <w:rsid w:val="00226972"/>
    <w:rsid w:val="0022733A"/>
    <w:rsid w:val="00235AB4"/>
    <w:rsid w:val="00236A03"/>
    <w:rsid w:val="00236C48"/>
    <w:rsid w:val="00240D54"/>
    <w:rsid w:val="00241E60"/>
    <w:rsid w:val="00244BC8"/>
    <w:rsid w:val="00253771"/>
    <w:rsid w:val="0025700F"/>
    <w:rsid w:val="00257681"/>
    <w:rsid w:val="00262E53"/>
    <w:rsid w:val="00263F75"/>
    <w:rsid w:val="00267EBA"/>
    <w:rsid w:val="00273959"/>
    <w:rsid w:val="00274F9A"/>
    <w:rsid w:val="0027703E"/>
    <w:rsid w:val="002811DA"/>
    <w:rsid w:val="002827CD"/>
    <w:rsid w:val="00286165"/>
    <w:rsid w:val="002870F8"/>
    <w:rsid w:val="00287D95"/>
    <w:rsid w:val="0029475B"/>
    <w:rsid w:val="00294E5D"/>
    <w:rsid w:val="002A6924"/>
    <w:rsid w:val="002B072E"/>
    <w:rsid w:val="002B1737"/>
    <w:rsid w:val="002B1F47"/>
    <w:rsid w:val="002B214F"/>
    <w:rsid w:val="002B4DCD"/>
    <w:rsid w:val="002B7753"/>
    <w:rsid w:val="002C132B"/>
    <w:rsid w:val="002C1990"/>
    <w:rsid w:val="002C5C6D"/>
    <w:rsid w:val="002D2C6C"/>
    <w:rsid w:val="002D4892"/>
    <w:rsid w:val="002D7934"/>
    <w:rsid w:val="002E05A5"/>
    <w:rsid w:val="002E3947"/>
    <w:rsid w:val="002E7F5B"/>
    <w:rsid w:val="002F29B0"/>
    <w:rsid w:val="002F540F"/>
    <w:rsid w:val="002F762E"/>
    <w:rsid w:val="003015DA"/>
    <w:rsid w:val="0030717E"/>
    <w:rsid w:val="00310EAE"/>
    <w:rsid w:val="00314CA2"/>
    <w:rsid w:val="00314EF5"/>
    <w:rsid w:val="00316A8D"/>
    <w:rsid w:val="00321245"/>
    <w:rsid w:val="0032439F"/>
    <w:rsid w:val="0032625E"/>
    <w:rsid w:val="00330CD5"/>
    <w:rsid w:val="00334875"/>
    <w:rsid w:val="003359B3"/>
    <w:rsid w:val="00342E4B"/>
    <w:rsid w:val="0035205D"/>
    <w:rsid w:val="003521CB"/>
    <w:rsid w:val="00357E85"/>
    <w:rsid w:val="00361949"/>
    <w:rsid w:val="003621EB"/>
    <w:rsid w:val="00362A00"/>
    <w:rsid w:val="00364A98"/>
    <w:rsid w:val="003718E7"/>
    <w:rsid w:val="003775ED"/>
    <w:rsid w:val="00380F8E"/>
    <w:rsid w:val="00384E56"/>
    <w:rsid w:val="0039370F"/>
    <w:rsid w:val="00394B48"/>
    <w:rsid w:val="003953B9"/>
    <w:rsid w:val="00395624"/>
    <w:rsid w:val="00397DB8"/>
    <w:rsid w:val="003A0723"/>
    <w:rsid w:val="003A0D44"/>
    <w:rsid w:val="003A0F79"/>
    <w:rsid w:val="003A2A9A"/>
    <w:rsid w:val="003A311F"/>
    <w:rsid w:val="003A6866"/>
    <w:rsid w:val="003B0325"/>
    <w:rsid w:val="003B1EAA"/>
    <w:rsid w:val="003B4C80"/>
    <w:rsid w:val="003C2C6F"/>
    <w:rsid w:val="003C408E"/>
    <w:rsid w:val="003C715E"/>
    <w:rsid w:val="003D0292"/>
    <w:rsid w:val="003D6455"/>
    <w:rsid w:val="003E3EA6"/>
    <w:rsid w:val="003E3FDD"/>
    <w:rsid w:val="003E521A"/>
    <w:rsid w:val="003E597E"/>
    <w:rsid w:val="003E6522"/>
    <w:rsid w:val="003F28F0"/>
    <w:rsid w:val="003F31BA"/>
    <w:rsid w:val="003F574C"/>
    <w:rsid w:val="003F5C56"/>
    <w:rsid w:val="003F7598"/>
    <w:rsid w:val="00402344"/>
    <w:rsid w:val="00406E90"/>
    <w:rsid w:val="004113DF"/>
    <w:rsid w:val="0041294A"/>
    <w:rsid w:val="00414B96"/>
    <w:rsid w:val="00414C86"/>
    <w:rsid w:val="00421D43"/>
    <w:rsid w:val="00424D66"/>
    <w:rsid w:val="00424E16"/>
    <w:rsid w:val="00425284"/>
    <w:rsid w:val="004255E6"/>
    <w:rsid w:val="0042696D"/>
    <w:rsid w:val="00426E2C"/>
    <w:rsid w:val="004336DC"/>
    <w:rsid w:val="00434DA4"/>
    <w:rsid w:val="00436F71"/>
    <w:rsid w:val="00441130"/>
    <w:rsid w:val="0044147B"/>
    <w:rsid w:val="004464C2"/>
    <w:rsid w:val="00447FC6"/>
    <w:rsid w:val="00456E26"/>
    <w:rsid w:val="004573DD"/>
    <w:rsid w:val="0046064C"/>
    <w:rsid w:val="00461E29"/>
    <w:rsid w:val="00465A26"/>
    <w:rsid w:val="00465AE3"/>
    <w:rsid w:val="00475411"/>
    <w:rsid w:val="00475EEA"/>
    <w:rsid w:val="004763A3"/>
    <w:rsid w:val="00484708"/>
    <w:rsid w:val="00495DF0"/>
    <w:rsid w:val="004A688F"/>
    <w:rsid w:val="004B2F54"/>
    <w:rsid w:val="004C102E"/>
    <w:rsid w:val="004C5648"/>
    <w:rsid w:val="004D4EDC"/>
    <w:rsid w:val="004E1FE3"/>
    <w:rsid w:val="004E214C"/>
    <w:rsid w:val="004E30F2"/>
    <w:rsid w:val="004E7C8E"/>
    <w:rsid w:val="004F0097"/>
    <w:rsid w:val="004F6A7A"/>
    <w:rsid w:val="00500515"/>
    <w:rsid w:val="00502907"/>
    <w:rsid w:val="005038F5"/>
    <w:rsid w:val="00504229"/>
    <w:rsid w:val="00504AF0"/>
    <w:rsid w:val="00504DE1"/>
    <w:rsid w:val="00505964"/>
    <w:rsid w:val="0050706B"/>
    <w:rsid w:val="00507CED"/>
    <w:rsid w:val="00511640"/>
    <w:rsid w:val="00511888"/>
    <w:rsid w:val="00512A88"/>
    <w:rsid w:val="00515410"/>
    <w:rsid w:val="00517ACB"/>
    <w:rsid w:val="005202C2"/>
    <w:rsid w:val="00525EEB"/>
    <w:rsid w:val="00531532"/>
    <w:rsid w:val="00531B54"/>
    <w:rsid w:val="00531FCC"/>
    <w:rsid w:val="00534C9D"/>
    <w:rsid w:val="00535126"/>
    <w:rsid w:val="00543AC2"/>
    <w:rsid w:val="00543E32"/>
    <w:rsid w:val="00546954"/>
    <w:rsid w:val="00552C05"/>
    <w:rsid w:val="00554F0D"/>
    <w:rsid w:val="0056090E"/>
    <w:rsid w:val="00563A20"/>
    <w:rsid w:val="00563B45"/>
    <w:rsid w:val="005641DA"/>
    <w:rsid w:val="00564F65"/>
    <w:rsid w:val="005673FE"/>
    <w:rsid w:val="0057014A"/>
    <w:rsid w:val="00570216"/>
    <w:rsid w:val="00572012"/>
    <w:rsid w:val="005720FC"/>
    <w:rsid w:val="00572554"/>
    <w:rsid w:val="00574AB5"/>
    <w:rsid w:val="00574E1E"/>
    <w:rsid w:val="00575EFC"/>
    <w:rsid w:val="00576BF1"/>
    <w:rsid w:val="00580648"/>
    <w:rsid w:val="00592331"/>
    <w:rsid w:val="00596948"/>
    <w:rsid w:val="00596FE0"/>
    <w:rsid w:val="005A200F"/>
    <w:rsid w:val="005A2299"/>
    <w:rsid w:val="005A29F8"/>
    <w:rsid w:val="005A4B10"/>
    <w:rsid w:val="005A5A57"/>
    <w:rsid w:val="005B2BDC"/>
    <w:rsid w:val="005B3A83"/>
    <w:rsid w:val="005B77FD"/>
    <w:rsid w:val="005C6E49"/>
    <w:rsid w:val="005D05F1"/>
    <w:rsid w:val="005D0C0E"/>
    <w:rsid w:val="005D0CCF"/>
    <w:rsid w:val="005D17E7"/>
    <w:rsid w:val="005E4803"/>
    <w:rsid w:val="005E4C93"/>
    <w:rsid w:val="005E6BD6"/>
    <w:rsid w:val="005F28ED"/>
    <w:rsid w:val="005F2EFC"/>
    <w:rsid w:val="005F3B4B"/>
    <w:rsid w:val="005F4224"/>
    <w:rsid w:val="005F4D80"/>
    <w:rsid w:val="005F54A9"/>
    <w:rsid w:val="005F72BC"/>
    <w:rsid w:val="00600FCB"/>
    <w:rsid w:val="00604A31"/>
    <w:rsid w:val="00607C6E"/>
    <w:rsid w:val="006104BA"/>
    <w:rsid w:val="0061424C"/>
    <w:rsid w:val="006154A5"/>
    <w:rsid w:val="00625212"/>
    <w:rsid w:val="00626614"/>
    <w:rsid w:val="006307CA"/>
    <w:rsid w:val="006367E3"/>
    <w:rsid w:val="00640DF7"/>
    <w:rsid w:val="00646B0D"/>
    <w:rsid w:val="00650A26"/>
    <w:rsid w:val="00650D49"/>
    <w:rsid w:val="00652138"/>
    <w:rsid w:val="00653F13"/>
    <w:rsid w:val="00656A17"/>
    <w:rsid w:val="00672AA8"/>
    <w:rsid w:val="00684421"/>
    <w:rsid w:val="006846EB"/>
    <w:rsid w:val="006846EE"/>
    <w:rsid w:val="00691BB2"/>
    <w:rsid w:val="006952AD"/>
    <w:rsid w:val="006B3E28"/>
    <w:rsid w:val="006B553A"/>
    <w:rsid w:val="006C5800"/>
    <w:rsid w:val="006C6186"/>
    <w:rsid w:val="006D059E"/>
    <w:rsid w:val="006D4A87"/>
    <w:rsid w:val="006E4293"/>
    <w:rsid w:val="006E59AC"/>
    <w:rsid w:val="006F2562"/>
    <w:rsid w:val="006F2F37"/>
    <w:rsid w:val="00702A3E"/>
    <w:rsid w:val="007074AC"/>
    <w:rsid w:val="00717A99"/>
    <w:rsid w:val="007227AF"/>
    <w:rsid w:val="00723326"/>
    <w:rsid w:val="00724FAD"/>
    <w:rsid w:val="0072601C"/>
    <w:rsid w:val="0073172C"/>
    <w:rsid w:val="00731C96"/>
    <w:rsid w:val="00732799"/>
    <w:rsid w:val="00741790"/>
    <w:rsid w:val="0074387E"/>
    <w:rsid w:val="00750FEB"/>
    <w:rsid w:val="0075758F"/>
    <w:rsid w:val="00757B63"/>
    <w:rsid w:val="00762A28"/>
    <w:rsid w:val="007631FB"/>
    <w:rsid w:val="00764A92"/>
    <w:rsid w:val="0076565B"/>
    <w:rsid w:val="00766777"/>
    <w:rsid w:val="00770E80"/>
    <w:rsid w:val="007710B4"/>
    <w:rsid w:val="007763E0"/>
    <w:rsid w:val="00777988"/>
    <w:rsid w:val="0078455C"/>
    <w:rsid w:val="00790159"/>
    <w:rsid w:val="00792914"/>
    <w:rsid w:val="00792EE0"/>
    <w:rsid w:val="00796B14"/>
    <w:rsid w:val="007A173A"/>
    <w:rsid w:val="007A2DE9"/>
    <w:rsid w:val="007A36FA"/>
    <w:rsid w:val="007A4322"/>
    <w:rsid w:val="007A5716"/>
    <w:rsid w:val="007B1021"/>
    <w:rsid w:val="007B180E"/>
    <w:rsid w:val="007B5187"/>
    <w:rsid w:val="007D0570"/>
    <w:rsid w:val="007D162C"/>
    <w:rsid w:val="007D1CBC"/>
    <w:rsid w:val="007D37FD"/>
    <w:rsid w:val="007D7CD4"/>
    <w:rsid w:val="007E1879"/>
    <w:rsid w:val="007E357C"/>
    <w:rsid w:val="007E6043"/>
    <w:rsid w:val="007E70FA"/>
    <w:rsid w:val="007E782E"/>
    <w:rsid w:val="007F353C"/>
    <w:rsid w:val="007F3E88"/>
    <w:rsid w:val="007F632C"/>
    <w:rsid w:val="008010F0"/>
    <w:rsid w:val="0080160E"/>
    <w:rsid w:val="008037FE"/>
    <w:rsid w:val="00803F25"/>
    <w:rsid w:val="00804A78"/>
    <w:rsid w:val="008127D6"/>
    <w:rsid w:val="00812D68"/>
    <w:rsid w:val="008153EF"/>
    <w:rsid w:val="00816591"/>
    <w:rsid w:val="00821904"/>
    <w:rsid w:val="00826B7C"/>
    <w:rsid w:val="00833DC3"/>
    <w:rsid w:val="00834C86"/>
    <w:rsid w:val="00835EE2"/>
    <w:rsid w:val="00840CCA"/>
    <w:rsid w:val="008437C3"/>
    <w:rsid w:val="0084492E"/>
    <w:rsid w:val="00850A6B"/>
    <w:rsid w:val="00851A45"/>
    <w:rsid w:val="008538CE"/>
    <w:rsid w:val="0085438F"/>
    <w:rsid w:val="008549EC"/>
    <w:rsid w:val="00855D32"/>
    <w:rsid w:val="00861609"/>
    <w:rsid w:val="0086193B"/>
    <w:rsid w:val="00863B82"/>
    <w:rsid w:val="00866C22"/>
    <w:rsid w:val="00871814"/>
    <w:rsid w:val="00872F06"/>
    <w:rsid w:val="00874C36"/>
    <w:rsid w:val="00877379"/>
    <w:rsid w:val="00877C03"/>
    <w:rsid w:val="00894849"/>
    <w:rsid w:val="0089638A"/>
    <w:rsid w:val="008A20E9"/>
    <w:rsid w:val="008A2734"/>
    <w:rsid w:val="008A646C"/>
    <w:rsid w:val="008B2DF6"/>
    <w:rsid w:val="008B4DFF"/>
    <w:rsid w:val="008B5E99"/>
    <w:rsid w:val="008C030B"/>
    <w:rsid w:val="008C4037"/>
    <w:rsid w:val="008C7612"/>
    <w:rsid w:val="008D1F1C"/>
    <w:rsid w:val="008D3DD0"/>
    <w:rsid w:val="008D4A84"/>
    <w:rsid w:val="008D6216"/>
    <w:rsid w:val="008E2CCC"/>
    <w:rsid w:val="008E48E7"/>
    <w:rsid w:val="008F6E08"/>
    <w:rsid w:val="009011F0"/>
    <w:rsid w:val="00913D2B"/>
    <w:rsid w:val="00921BCA"/>
    <w:rsid w:val="009245B9"/>
    <w:rsid w:val="009263E1"/>
    <w:rsid w:val="00931CA7"/>
    <w:rsid w:val="00933563"/>
    <w:rsid w:val="0096299C"/>
    <w:rsid w:val="00970D6D"/>
    <w:rsid w:val="009778A8"/>
    <w:rsid w:val="00980696"/>
    <w:rsid w:val="009811B9"/>
    <w:rsid w:val="00982BCB"/>
    <w:rsid w:val="00985DA2"/>
    <w:rsid w:val="0099227B"/>
    <w:rsid w:val="009959D2"/>
    <w:rsid w:val="009972F6"/>
    <w:rsid w:val="00997BB9"/>
    <w:rsid w:val="009A05DC"/>
    <w:rsid w:val="009A7E59"/>
    <w:rsid w:val="009B10D0"/>
    <w:rsid w:val="009B2003"/>
    <w:rsid w:val="009B53D2"/>
    <w:rsid w:val="009B5E1B"/>
    <w:rsid w:val="009B7373"/>
    <w:rsid w:val="009B7E14"/>
    <w:rsid w:val="009C06BD"/>
    <w:rsid w:val="009C311F"/>
    <w:rsid w:val="009C39EC"/>
    <w:rsid w:val="009C7C25"/>
    <w:rsid w:val="009D0037"/>
    <w:rsid w:val="009D394A"/>
    <w:rsid w:val="009D4DAF"/>
    <w:rsid w:val="009D5D33"/>
    <w:rsid w:val="009D68A7"/>
    <w:rsid w:val="009E224C"/>
    <w:rsid w:val="009E643F"/>
    <w:rsid w:val="009E6948"/>
    <w:rsid w:val="009F2D1A"/>
    <w:rsid w:val="009F3F49"/>
    <w:rsid w:val="009F7C60"/>
    <w:rsid w:val="00A0792E"/>
    <w:rsid w:val="00A126FE"/>
    <w:rsid w:val="00A158D8"/>
    <w:rsid w:val="00A15F8E"/>
    <w:rsid w:val="00A2128F"/>
    <w:rsid w:val="00A248DA"/>
    <w:rsid w:val="00A361D4"/>
    <w:rsid w:val="00A42159"/>
    <w:rsid w:val="00A43014"/>
    <w:rsid w:val="00A43800"/>
    <w:rsid w:val="00A473B9"/>
    <w:rsid w:val="00A4756D"/>
    <w:rsid w:val="00A6069E"/>
    <w:rsid w:val="00A60D62"/>
    <w:rsid w:val="00A6409D"/>
    <w:rsid w:val="00A673BB"/>
    <w:rsid w:val="00A701AD"/>
    <w:rsid w:val="00A70FC6"/>
    <w:rsid w:val="00A76BFE"/>
    <w:rsid w:val="00A80847"/>
    <w:rsid w:val="00A8280D"/>
    <w:rsid w:val="00A82841"/>
    <w:rsid w:val="00A84999"/>
    <w:rsid w:val="00A84C01"/>
    <w:rsid w:val="00A858F8"/>
    <w:rsid w:val="00A904A5"/>
    <w:rsid w:val="00A93821"/>
    <w:rsid w:val="00A95ACF"/>
    <w:rsid w:val="00A95E62"/>
    <w:rsid w:val="00AA08D3"/>
    <w:rsid w:val="00AA572D"/>
    <w:rsid w:val="00AA59F1"/>
    <w:rsid w:val="00AB0FDE"/>
    <w:rsid w:val="00AB1585"/>
    <w:rsid w:val="00AC1820"/>
    <w:rsid w:val="00AC4064"/>
    <w:rsid w:val="00AC7C9F"/>
    <w:rsid w:val="00AD2B49"/>
    <w:rsid w:val="00AD33DF"/>
    <w:rsid w:val="00AD4C76"/>
    <w:rsid w:val="00AE06D8"/>
    <w:rsid w:val="00AE10CB"/>
    <w:rsid w:val="00AE59BF"/>
    <w:rsid w:val="00AF3A62"/>
    <w:rsid w:val="00AF71F2"/>
    <w:rsid w:val="00B01673"/>
    <w:rsid w:val="00B030D3"/>
    <w:rsid w:val="00B04A95"/>
    <w:rsid w:val="00B04D4D"/>
    <w:rsid w:val="00B05AB6"/>
    <w:rsid w:val="00B0601F"/>
    <w:rsid w:val="00B10B42"/>
    <w:rsid w:val="00B10E89"/>
    <w:rsid w:val="00B11D75"/>
    <w:rsid w:val="00B16370"/>
    <w:rsid w:val="00B16679"/>
    <w:rsid w:val="00B2260D"/>
    <w:rsid w:val="00B258BF"/>
    <w:rsid w:val="00B36A92"/>
    <w:rsid w:val="00B4019E"/>
    <w:rsid w:val="00B429C3"/>
    <w:rsid w:val="00B433DD"/>
    <w:rsid w:val="00B50E63"/>
    <w:rsid w:val="00B52EBE"/>
    <w:rsid w:val="00B5369D"/>
    <w:rsid w:val="00B62C67"/>
    <w:rsid w:val="00B62FBA"/>
    <w:rsid w:val="00B659DE"/>
    <w:rsid w:val="00B673ED"/>
    <w:rsid w:val="00B81645"/>
    <w:rsid w:val="00B87220"/>
    <w:rsid w:val="00B87315"/>
    <w:rsid w:val="00B92DCB"/>
    <w:rsid w:val="00B97EFF"/>
    <w:rsid w:val="00BA0175"/>
    <w:rsid w:val="00BA04A9"/>
    <w:rsid w:val="00BA4A27"/>
    <w:rsid w:val="00BB3FBC"/>
    <w:rsid w:val="00BB7EEC"/>
    <w:rsid w:val="00BD1C21"/>
    <w:rsid w:val="00BD4FCE"/>
    <w:rsid w:val="00BD5CC4"/>
    <w:rsid w:val="00BD6BFE"/>
    <w:rsid w:val="00BE1685"/>
    <w:rsid w:val="00BE3559"/>
    <w:rsid w:val="00BE5EB0"/>
    <w:rsid w:val="00BF1102"/>
    <w:rsid w:val="00BF2DAD"/>
    <w:rsid w:val="00BF3209"/>
    <w:rsid w:val="00BF398A"/>
    <w:rsid w:val="00BF722A"/>
    <w:rsid w:val="00C0261E"/>
    <w:rsid w:val="00C0542B"/>
    <w:rsid w:val="00C1104A"/>
    <w:rsid w:val="00C16942"/>
    <w:rsid w:val="00C2234F"/>
    <w:rsid w:val="00C24C3D"/>
    <w:rsid w:val="00C2512E"/>
    <w:rsid w:val="00C25336"/>
    <w:rsid w:val="00C30900"/>
    <w:rsid w:val="00C33E60"/>
    <w:rsid w:val="00C36517"/>
    <w:rsid w:val="00C402F4"/>
    <w:rsid w:val="00C4075A"/>
    <w:rsid w:val="00C416B4"/>
    <w:rsid w:val="00C4188A"/>
    <w:rsid w:val="00C43DCA"/>
    <w:rsid w:val="00C45148"/>
    <w:rsid w:val="00C46344"/>
    <w:rsid w:val="00C47A7E"/>
    <w:rsid w:val="00C50EC8"/>
    <w:rsid w:val="00C51F99"/>
    <w:rsid w:val="00C53B2F"/>
    <w:rsid w:val="00C54B96"/>
    <w:rsid w:val="00C57096"/>
    <w:rsid w:val="00C612B3"/>
    <w:rsid w:val="00C70345"/>
    <w:rsid w:val="00C70AD9"/>
    <w:rsid w:val="00C71092"/>
    <w:rsid w:val="00C76C0C"/>
    <w:rsid w:val="00C811A3"/>
    <w:rsid w:val="00C93A0D"/>
    <w:rsid w:val="00C945DB"/>
    <w:rsid w:val="00CA0B8E"/>
    <w:rsid w:val="00CA642B"/>
    <w:rsid w:val="00CC15E4"/>
    <w:rsid w:val="00CC2D30"/>
    <w:rsid w:val="00CC2E19"/>
    <w:rsid w:val="00CC362C"/>
    <w:rsid w:val="00CC367C"/>
    <w:rsid w:val="00CC5CEB"/>
    <w:rsid w:val="00CC7787"/>
    <w:rsid w:val="00CD78E1"/>
    <w:rsid w:val="00CE1CC5"/>
    <w:rsid w:val="00CE495E"/>
    <w:rsid w:val="00CE5169"/>
    <w:rsid w:val="00CE603F"/>
    <w:rsid w:val="00CE69CB"/>
    <w:rsid w:val="00CE6C7B"/>
    <w:rsid w:val="00CE6E6E"/>
    <w:rsid w:val="00CF5A5F"/>
    <w:rsid w:val="00CF732C"/>
    <w:rsid w:val="00CF79D2"/>
    <w:rsid w:val="00CF7E6B"/>
    <w:rsid w:val="00D02251"/>
    <w:rsid w:val="00D03E59"/>
    <w:rsid w:val="00D127C8"/>
    <w:rsid w:val="00D160A4"/>
    <w:rsid w:val="00D242F9"/>
    <w:rsid w:val="00D25A14"/>
    <w:rsid w:val="00D26453"/>
    <w:rsid w:val="00D2798D"/>
    <w:rsid w:val="00D27BA8"/>
    <w:rsid w:val="00D30681"/>
    <w:rsid w:val="00D324F7"/>
    <w:rsid w:val="00D33C72"/>
    <w:rsid w:val="00D35EA4"/>
    <w:rsid w:val="00D40A36"/>
    <w:rsid w:val="00D4215E"/>
    <w:rsid w:val="00D43EB1"/>
    <w:rsid w:val="00D4546B"/>
    <w:rsid w:val="00D466FA"/>
    <w:rsid w:val="00D47E05"/>
    <w:rsid w:val="00D5165F"/>
    <w:rsid w:val="00D523A7"/>
    <w:rsid w:val="00D62989"/>
    <w:rsid w:val="00D66767"/>
    <w:rsid w:val="00D67CAA"/>
    <w:rsid w:val="00D72D45"/>
    <w:rsid w:val="00D7314F"/>
    <w:rsid w:val="00D73A24"/>
    <w:rsid w:val="00D74092"/>
    <w:rsid w:val="00D7556C"/>
    <w:rsid w:val="00D75C86"/>
    <w:rsid w:val="00D8101D"/>
    <w:rsid w:val="00D8252A"/>
    <w:rsid w:val="00D857BB"/>
    <w:rsid w:val="00D90EF3"/>
    <w:rsid w:val="00D92247"/>
    <w:rsid w:val="00D93F73"/>
    <w:rsid w:val="00DA28D2"/>
    <w:rsid w:val="00DA4643"/>
    <w:rsid w:val="00DB04D2"/>
    <w:rsid w:val="00DB144D"/>
    <w:rsid w:val="00DB1B97"/>
    <w:rsid w:val="00DB2A88"/>
    <w:rsid w:val="00DC00A6"/>
    <w:rsid w:val="00DC2DAE"/>
    <w:rsid w:val="00DC3BD2"/>
    <w:rsid w:val="00DC44C7"/>
    <w:rsid w:val="00DD1E65"/>
    <w:rsid w:val="00DD3D3B"/>
    <w:rsid w:val="00DD4BE8"/>
    <w:rsid w:val="00DF277D"/>
    <w:rsid w:val="00DF5762"/>
    <w:rsid w:val="00E06111"/>
    <w:rsid w:val="00E06948"/>
    <w:rsid w:val="00E155AD"/>
    <w:rsid w:val="00E166E4"/>
    <w:rsid w:val="00E20555"/>
    <w:rsid w:val="00E249BB"/>
    <w:rsid w:val="00E30F2C"/>
    <w:rsid w:val="00E3530C"/>
    <w:rsid w:val="00E407FB"/>
    <w:rsid w:val="00E444E9"/>
    <w:rsid w:val="00E46E9A"/>
    <w:rsid w:val="00E50720"/>
    <w:rsid w:val="00E51677"/>
    <w:rsid w:val="00E63A5F"/>
    <w:rsid w:val="00E646C7"/>
    <w:rsid w:val="00E658F3"/>
    <w:rsid w:val="00E664D8"/>
    <w:rsid w:val="00E6660D"/>
    <w:rsid w:val="00E7000A"/>
    <w:rsid w:val="00E7290C"/>
    <w:rsid w:val="00E7511A"/>
    <w:rsid w:val="00E8494E"/>
    <w:rsid w:val="00E86A0E"/>
    <w:rsid w:val="00E87078"/>
    <w:rsid w:val="00E92BC8"/>
    <w:rsid w:val="00E93EC8"/>
    <w:rsid w:val="00E96D4F"/>
    <w:rsid w:val="00E972A2"/>
    <w:rsid w:val="00E97364"/>
    <w:rsid w:val="00EA1B4C"/>
    <w:rsid w:val="00EA2069"/>
    <w:rsid w:val="00EA2B0B"/>
    <w:rsid w:val="00EA76E4"/>
    <w:rsid w:val="00EB0019"/>
    <w:rsid w:val="00EB470C"/>
    <w:rsid w:val="00EC04D2"/>
    <w:rsid w:val="00EC55B3"/>
    <w:rsid w:val="00EC655C"/>
    <w:rsid w:val="00EC7279"/>
    <w:rsid w:val="00ED0231"/>
    <w:rsid w:val="00ED2ED1"/>
    <w:rsid w:val="00ED7CDD"/>
    <w:rsid w:val="00EE055D"/>
    <w:rsid w:val="00EE0A1C"/>
    <w:rsid w:val="00EE0A22"/>
    <w:rsid w:val="00EE1953"/>
    <w:rsid w:val="00EE1E98"/>
    <w:rsid w:val="00EE500A"/>
    <w:rsid w:val="00EF6488"/>
    <w:rsid w:val="00EF7A3A"/>
    <w:rsid w:val="00F0168D"/>
    <w:rsid w:val="00F0472D"/>
    <w:rsid w:val="00F10024"/>
    <w:rsid w:val="00F21A58"/>
    <w:rsid w:val="00F22FE2"/>
    <w:rsid w:val="00F23520"/>
    <w:rsid w:val="00F25CA3"/>
    <w:rsid w:val="00F26E6E"/>
    <w:rsid w:val="00F40B22"/>
    <w:rsid w:val="00F449F9"/>
    <w:rsid w:val="00F46F03"/>
    <w:rsid w:val="00F503FF"/>
    <w:rsid w:val="00F558D5"/>
    <w:rsid w:val="00F5723F"/>
    <w:rsid w:val="00F61975"/>
    <w:rsid w:val="00F65CCB"/>
    <w:rsid w:val="00F66564"/>
    <w:rsid w:val="00F66ED3"/>
    <w:rsid w:val="00F674FE"/>
    <w:rsid w:val="00F732B0"/>
    <w:rsid w:val="00F73B45"/>
    <w:rsid w:val="00F7600E"/>
    <w:rsid w:val="00F86BD2"/>
    <w:rsid w:val="00F90878"/>
    <w:rsid w:val="00F93FE6"/>
    <w:rsid w:val="00F97FC3"/>
    <w:rsid w:val="00FA0474"/>
    <w:rsid w:val="00FA42E6"/>
    <w:rsid w:val="00FA6641"/>
    <w:rsid w:val="00FB587C"/>
    <w:rsid w:val="00FB676A"/>
    <w:rsid w:val="00FB6C59"/>
    <w:rsid w:val="00FC2634"/>
    <w:rsid w:val="00FC416E"/>
    <w:rsid w:val="00FD0254"/>
    <w:rsid w:val="00FD0955"/>
    <w:rsid w:val="00FD2053"/>
    <w:rsid w:val="00FE3457"/>
    <w:rsid w:val="00FE5647"/>
    <w:rsid w:val="00FE58C1"/>
    <w:rsid w:val="00FE6597"/>
    <w:rsid w:val="00FF02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A53C7"/>
  <w15:docId w15:val="{C5CCA1C4-B504-497A-83E3-7E96534E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39F"/>
  </w:style>
  <w:style w:type="paragraph" w:styleId="Ttulo1">
    <w:name w:val="heading 1"/>
    <w:basedOn w:val="Normal"/>
    <w:next w:val="Normal"/>
    <w:link w:val="Ttulo1Char"/>
    <w:qFormat/>
    <w:rsid w:val="004F6A7A"/>
    <w:pPr>
      <w:keepNext/>
      <w:spacing w:after="0" w:line="240" w:lineRule="auto"/>
      <w:jc w:val="both"/>
      <w:outlineLvl w:val="0"/>
    </w:pPr>
    <w:rPr>
      <w:rFonts w:ascii="Arial" w:eastAsia="Times New Roman" w:hAnsi="Arial"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AA572D"/>
  </w:style>
  <w:style w:type="character" w:customStyle="1" w:styleId="tamanho18">
    <w:name w:val="tamanho18"/>
    <w:basedOn w:val="Fontepargpadro"/>
    <w:rsid w:val="00AA572D"/>
  </w:style>
  <w:style w:type="paragraph" w:styleId="Textodebalo">
    <w:name w:val="Balloon Text"/>
    <w:basedOn w:val="Normal"/>
    <w:link w:val="TextodebaloChar"/>
    <w:uiPriority w:val="99"/>
    <w:semiHidden/>
    <w:unhideWhenUsed/>
    <w:rsid w:val="00A475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756D"/>
    <w:rPr>
      <w:rFonts w:ascii="Tahoma" w:hAnsi="Tahoma" w:cs="Tahoma"/>
      <w:sz w:val="16"/>
      <w:szCs w:val="16"/>
    </w:rPr>
  </w:style>
  <w:style w:type="paragraph" w:styleId="Cabealho">
    <w:name w:val="header"/>
    <w:aliases w:val="Cabeçalho superior,Heading 1a,h,he,HeaderNN"/>
    <w:basedOn w:val="Normal"/>
    <w:link w:val="CabealhoChar"/>
    <w:uiPriority w:val="99"/>
    <w:qFormat/>
    <w:rsid w:val="00A4756D"/>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CabealhoChar">
    <w:name w:val="Cabeçalho Char"/>
    <w:aliases w:val="Cabeçalho superior Char,Heading 1a Char,h Char,he Char,HeaderNN Char"/>
    <w:basedOn w:val="Fontepargpadro"/>
    <w:link w:val="Cabealho"/>
    <w:uiPriority w:val="99"/>
    <w:rsid w:val="00A4756D"/>
    <w:rPr>
      <w:rFonts w:ascii="Arial" w:eastAsia="Times New Roman" w:hAnsi="Arial" w:cs="Times New Roman"/>
      <w:sz w:val="24"/>
      <w:szCs w:val="20"/>
      <w:lang w:eastAsia="pt-BR"/>
    </w:rPr>
  </w:style>
  <w:style w:type="paragraph" w:styleId="Rodap">
    <w:name w:val="footer"/>
    <w:basedOn w:val="Normal"/>
    <w:link w:val="RodapChar"/>
    <w:uiPriority w:val="99"/>
    <w:unhideWhenUsed/>
    <w:rsid w:val="007D37FD"/>
    <w:pPr>
      <w:tabs>
        <w:tab w:val="center" w:pos="4252"/>
        <w:tab w:val="right" w:pos="8504"/>
      </w:tabs>
      <w:spacing w:after="0" w:line="240" w:lineRule="auto"/>
    </w:pPr>
  </w:style>
  <w:style w:type="character" w:customStyle="1" w:styleId="RodapChar">
    <w:name w:val="Rodapé Char"/>
    <w:basedOn w:val="Fontepargpadro"/>
    <w:link w:val="Rodap"/>
    <w:uiPriority w:val="99"/>
    <w:rsid w:val="007D37FD"/>
  </w:style>
  <w:style w:type="paragraph" w:styleId="Recuodecorpodetexto">
    <w:name w:val="Body Text Indent"/>
    <w:basedOn w:val="Normal"/>
    <w:link w:val="RecuodecorpodetextoChar"/>
    <w:rsid w:val="009811B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9811B9"/>
    <w:rPr>
      <w:rFonts w:ascii="Times New Roman" w:eastAsia="Times New Roman" w:hAnsi="Times New Roman" w:cs="Times New Roman"/>
      <w:sz w:val="20"/>
      <w:szCs w:val="20"/>
      <w:lang w:eastAsia="pt-BR"/>
    </w:rPr>
  </w:style>
  <w:style w:type="table" w:styleId="Tabelacomgrade">
    <w:name w:val="Table Grid"/>
    <w:basedOn w:val="Tabelanormal"/>
    <w:uiPriority w:val="59"/>
    <w:rsid w:val="00447F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cuodecorpodetexto21">
    <w:name w:val="Recuo de corpo de texto 21"/>
    <w:basedOn w:val="Normal"/>
    <w:rsid w:val="00D67CAA"/>
    <w:pPr>
      <w:widowControl w:val="0"/>
      <w:suppressAutoHyphens/>
      <w:autoSpaceDE w:val="0"/>
      <w:spacing w:after="0" w:line="240" w:lineRule="auto"/>
      <w:ind w:left="1418" w:hanging="284"/>
      <w:jc w:val="both"/>
    </w:pPr>
    <w:rPr>
      <w:rFonts w:ascii="Times New Roman" w:eastAsia="Times New Roman" w:hAnsi="Times New Roman" w:cs="Times New Roman"/>
      <w:sz w:val="28"/>
      <w:szCs w:val="28"/>
      <w:lang w:eastAsia="ar-SA"/>
    </w:rPr>
  </w:style>
  <w:style w:type="character" w:customStyle="1" w:styleId="CabealhoChar1">
    <w:name w:val="Cabeçalho Char1"/>
    <w:basedOn w:val="Fontepargpadro"/>
    <w:locked/>
    <w:rsid w:val="00D67CAA"/>
    <w:rPr>
      <w:rFonts w:ascii="Calibri" w:hAnsi="Calibri"/>
      <w:sz w:val="22"/>
      <w:szCs w:val="22"/>
      <w:lang w:val="pt-BR" w:eastAsia="ar-SA" w:bidi="ar-SA"/>
    </w:rPr>
  </w:style>
  <w:style w:type="character" w:customStyle="1" w:styleId="Ttulo1Char">
    <w:name w:val="Título 1 Char"/>
    <w:basedOn w:val="Fontepargpadro"/>
    <w:link w:val="Ttulo1"/>
    <w:rsid w:val="004F6A7A"/>
    <w:rPr>
      <w:rFonts w:ascii="Arial" w:eastAsia="Times New Roman" w:hAnsi="Arial" w:cs="Times New Roman"/>
      <w:sz w:val="28"/>
      <w:szCs w:val="20"/>
      <w:lang w:eastAsia="pt-BR"/>
    </w:rPr>
  </w:style>
  <w:style w:type="paragraph" w:customStyle="1" w:styleId="cab">
    <w:name w:val="cab"/>
    <w:basedOn w:val="Normal"/>
    <w:rsid w:val="00B536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EF7A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qFormat/>
    <w:rsid w:val="00244BC8"/>
    <w:rPr>
      <w:i/>
      <w:iCs/>
    </w:rPr>
  </w:style>
  <w:style w:type="paragraph" w:styleId="PargrafodaLista">
    <w:name w:val="List Paragraph"/>
    <w:basedOn w:val="Normal"/>
    <w:uiPriority w:val="34"/>
    <w:qFormat/>
    <w:rsid w:val="00C402F4"/>
    <w:pPr>
      <w:ind w:left="720"/>
      <w:contextualSpacing/>
    </w:pPr>
  </w:style>
  <w:style w:type="paragraph" w:styleId="SemEspaamento">
    <w:name w:val="No Spacing"/>
    <w:uiPriority w:val="1"/>
    <w:qFormat/>
    <w:rsid w:val="002E05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80441">
      <w:bodyDiv w:val="1"/>
      <w:marLeft w:val="0"/>
      <w:marRight w:val="0"/>
      <w:marTop w:val="0"/>
      <w:marBottom w:val="0"/>
      <w:divBdr>
        <w:top w:val="none" w:sz="0" w:space="0" w:color="auto"/>
        <w:left w:val="none" w:sz="0" w:space="0" w:color="auto"/>
        <w:bottom w:val="none" w:sz="0" w:space="0" w:color="auto"/>
        <w:right w:val="none" w:sz="0" w:space="0" w:color="auto"/>
      </w:divBdr>
    </w:div>
    <w:div w:id="1618634875">
      <w:bodyDiv w:val="1"/>
      <w:marLeft w:val="0"/>
      <w:marRight w:val="0"/>
      <w:marTop w:val="0"/>
      <w:marBottom w:val="0"/>
      <w:divBdr>
        <w:top w:val="none" w:sz="0" w:space="0" w:color="auto"/>
        <w:left w:val="none" w:sz="0" w:space="0" w:color="auto"/>
        <w:bottom w:val="none" w:sz="0" w:space="0" w:color="auto"/>
        <w:right w:val="none" w:sz="0" w:space="0" w:color="auto"/>
      </w:divBdr>
    </w:div>
    <w:div w:id="17337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044A-B833-4638-92F4-005F6960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1385</Words>
  <Characters>7484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Procuradoria</dc:creator>
  <cp:lastModifiedBy>Alessandro</cp:lastModifiedBy>
  <cp:revision>16</cp:revision>
  <cp:lastPrinted>2019-07-31T12:31:00Z</cp:lastPrinted>
  <dcterms:created xsi:type="dcterms:W3CDTF">2019-07-30T16:00:00Z</dcterms:created>
  <dcterms:modified xsi:type="dcterms:W3CDTF">2019-07-31T12:51:00Z</dcterms:modified>
</cp:coreProperties>
</file>